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9C" w:rsidRDefault="00301B9C" w:rsidP="007C047B">
      <w:pPr>
        <w:pStyle w:val="Title"/>
        <w:rPr>
          <w:rFonts w:eastAsia="MS Gothic"/>
          <w:b/>
          <w:sz w:val="32"/>
        </w:rPr>
      </w:pPr>
    </w:p>
    <w:p w:rsidR="00301B9C" w:rsidRDefault="00301B9C" w:rsidP="00301B9C">
      <w:pPr>
        <w:pStyle w:val="Title"/>
        <w:jc w:val="center"/>
        <w:rPr>
          <w:rFonts w:eastAsia="MS Gothic"/>
          <w:b/>
          <w:sz w:val="32"/>
        </w:rPr>
      </w:pPr>
      <w:r>
        <w:rPr>
          <w:rFonts w:eastAsia="MS Gothic"/>
          <w:b/>
          <w:sz w:val="32"/>
        </w:rPr>
        <w:t>HOW AFFORDABLE IS HUD AFFORDABLE HOUSING?</w:t>
      </w:r>
    </w:p>
    <w:p w:rsidR="00301B9C" w:rsidRDefault="00301B9C" w:rsidP="00301B9C">
      <w:pPr>
        <w:spacing w:after="0" w:line="240" w:lineRule="auto"/>
        <w:rPr>
          <w:rFonts w:ascii="Times New Roman" w:eastAsia="ヒラギノ角ゴ Pro W3" w:hAnsi="Times New Roman" w:cs="Times New Roman"/>
          <w:color w:val="000000"/>
          <w:sz w:val="24"/>
          <w:szCs w:val="24"/>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rPr>
          <w:rStyle w:val="TRBHeader1Char"/>
        </w:rPr>
      </w:pPr>
    </w:p>
    <w:p w:rsidR="00C33192" w:rsidRDefault="00C33192" w:rsidP="00C33192">
      <w:pPr>
        <w:pStyle w:val="Heading1"/>
        <w:keepNext w:val="0"/>
        <w:keepLines w:val="0"/>
        <w:widowControl w:val="0"/>
        <w:rPr>
          <w:rStyle w:val="TRBHeader1Char"/>
        </w:rPr>
      </w:pPr>
    </w:p>
    <w:p w:rsidR="00301B9C" w:rsidRDefault="00301B9C" w:rsidP="00C33192">
      <w:pPr>
        <w:pStyle w:val="Heading1"/>
        <w:keepNext w:val="0"/>
        <w:keepLines w:val="0"/>
        <w:widowControl w:val="0"/>
        <w:rPr>
          <w:rFonts w:ascii="Times New Roman" w:eastAsia="Calibri" w:hAnsi="Times New Roman"/>
        </w:rPr>
      </w:pPr>
      <w:r w:rsidRPr="00C51F95">
        <w:rPr>
          <w:rStyle w:val="TRBHeader1Char"/>
        </w:rPr>
        <w:lastRenderedPageBreak/>
        <w:t>Abstract</w:t>
      </w:r>
      <w:r>
        <w:rPr>
          <w:rFonts w:ascii="Times New Roman" w:eastAsia="Calibri" w:hAnsi="Times New Roman"/>
        </w:rPr>
        <w:t xml:space="preserve"> </w:t>
      </w:r>
    </w:p>
    <w:p w:rsidR="005B3E53" w:rsidRDefault="00DF75E5" w:rsidP="00C33192">
      <w:pPr>
        <w:widowControl w:val="0"/>
        <w:spacing w:after="0" w:line="480" w:lineRule="auto"/>
        <w:rPr>
          <w:rFonts w:ascii="Times New Roman" w:eastAsia="Calibri" w:hAnsi="Times New Roman" w:cs="Times New Roman"/>
          <w:sz w:val="24"/>
        </w:rPr>
      </w:pPr>
      <w:r>
        <w:rPr>
          <w:rFonts w:ascii="Times New Roman" w:eastAsia="Calibri" w:hAnsi="Times New Roman" w:cs="Times New Roman"/>
          <w:sz w:val="24"/>
        </w:rPr>
        <w:t>This paper assesses</w:t>
      </w:r>
      <w:r w:rsidR="005B3E53">
        <w:rPr>
          <w:rFonts w:ascii="Times New Roman" w:eastAsia="Calibri" w:hAnsi="Times New Roman" w:cs="Times New Roman"/>
          <w:sz w:val="24"/>
        </w:rPr>
        <w:t xml:space="preserve"> the affordability of HUD rental assistance properties from the standpoint of transportation costs. HUD housing is, by definition, affordable from the standpoint of housing costs due to limits on the amounts renters are required to pay. However, there are no such limitations on transportation costs, and common sense suggests that renters in remote locations may be forced to pay more than 15 percent of income, a nominal affordability standard, for transportation costs. Using household travel models estimated with data from 15 diverse regions around the U.S., we estimated and summed automobile capital costs, automobile operating costs, and transit fare costs for </w:t>
      </w:r>
      <w:r>
        <w:rPr>
          <w:rFonts w:ascii="Times New Roman" w:eastAsia="Calibri" w:hAnsi="Times New Roman" w:cs="Times New Roman"/>
          <w:sz w:val="24"/>
        </w:rPr>
        <w:t xml:space="preserve">households at </w:t>
      </w:r>
      <w:r w:rsidR="005B3E53">
        <w:rPr>
          <w:rFonts w:ascii="Times New Roman" w:eastAsia="Calibri" w:hAnsi="Times New Roman" w:cs="Times New Roman"/>
          <w:sz w:val="24"/>
        </w:rPr>
        <w:t xml:space="preserve">more than 18,000 HUD rental assistance properties. The mean percentage of income expended on transportation is 15 percent for households at the high end of the </w:t>
      </w:r>
      <w:r w:rsidR="009A7F43">
        <w:rPr>
          <w:rFonts w:ascii="Times New Roman" w:eastAsia="Calibri" w:hAnsi="Times New Roman" w:cs="Times New Roman"/>
          <w:sz w:val="24"/>
        </w:rPr>
        <w:t xml:space="preserve">eligible income scale. However, in highly sprawling metropolitan areas, and in suburban areas of more compact metropolitan areas, much higher percentages of households exceed the 15 percent threshold. </w:t>
      </w:r>
      <w:r w:rsidR="005930A6" w:rsidRPr="002F22BC">
        <w:rPr>
          <w:rFonts w:ascii="Times New Roman" w:eastAsia="Calibri" w:hAnsi="Times New Roman" w:cs="Times New Roman"/>
          <w:sz w:val="24"/>
          <w:highlight w:val="yellow"/>
        </w:rPr>
        <w:t>This suggests that locational characteristics of properties should be considered for renewal when HUD contracts expire for these properties, based on location and hence on transportation affordability.</w:t>
      </w:r>
    </w:p>
    <w:p w:rsidR="00301B9C" w:rsidRDefault="00301B9C" w:rsidP="00301B9C">
      <w:pPr>
        <w:spacing w:line="240" w:lineRule="auto"/>
        <w:rPr>
          <w:rFonts w:ascii="Times New Roman" w:eastAsia="Calibri" w:hAnsi="Times New Roman" w:cs="Times New Roman"/>
          <w:b/>
          <w:sz w:val="24"/>
        </w:rPr>
      </w:pPr>
    </w:p>
    <w:p w:rsidR="00301B9C" w:rsidRPr="001868AE" w:rsidRDefault="00301B9C" w:rsidP="00301B9C">
      <w:pPr>
        <w:spacing w:line="240" w:lineRule="auto"/>
        <w:rPr>
          <w:rFonts w:ascii="Times New Roman" w:eastAsia="Calibri" w:hAnsi="Times New Roman" w:cs="Times New Roman"/>
          <w:i/>
          <w:sz w:val="24"/>
        </w:rPr>
      </w:pPr>
      <w:r w:rsidRPr="00301B9C">
        <w:rPr>
          <w:rFonts w:ascii="Times New Roman" w:eastAsia="Calibri" w:hAnsi="Times New Roman" w:cs="Times New Roman"/>
          <w:b/>
          <w:sz w:val="24"/>
        </w:rPr>
        <w:t>Keywords:</w:t>
      </w:r>
      <w:r>
        <w:rPr>
          <w:rFonts w:ascii="Times New Roman" w:eastAsia="Calibri" w:hAnsi="Times New Roman" w:cs="Times New Roman"/>
          <w:b/>
          <w:sz w:val="24"/>
        </w:rPr>
        <w:t xml:space="preserve"> </w:t>
      </w:r>
      <w:r w:rsidRPr="001868AE">
        <w:rPr>
          <w:rFonts w:ascii="Times New Roman" w:eastAsia="Calibri" w:hAnsi="Times New Roman" w:cs="Times New Roman"/>
          <w:i/>
          <w:sz w:val="24"/>
        </w:rPr>
        <w:t>Affordable housing, HUD rental assistance program, transportation costs,</w:t>
      </w:r>
      <w:r w:rsidRPr="001868AE">
        <w:rPr>
          <w:rFonts w:ascii="Times New Roman" w:eastAsia="Calibri" w:hAnsi="Times New Roman" w:cs="Times New Roman"/>
          <w:b/>
          <w:i/>
          <w:sz w:val="24"/>
        </w:rPr>
        <w:t xml:space="preserve"> </w:t>
      </w:r>
      <w:r w:rsidR="001868AE" w:rsidRPr="001868AE">
        <w:rPr>
          <w:rFonts w:ascii="Times New Roman" w:eastAsia="Calibri" w:hAnsi="Times New Roman" w:cs="Times New Roman"/>
          <w:i/>
          <w:sz w:val="24"/>
        </w:rPr>
        <w:t>affordability</w:t>
      </w:r>
    </w:p>
    <w:p w:rsidR="001868AE" w:rsidRDefault="001868AE">
      <w:pPr>
        <w:rPr>
          <w:rFonts w:asciiTheme="majorHAnsi" w:eastAsiaTheme="majorEastAsia" w:hAnsiTheme="majorHAnsi" w:cstheme="majorBidi"/>
          <w:b/>
          <w:bCs/>
          <w:color w:val="365F91" w:themeColor="accent1" w:themeShade="BF"/>
          <w:sz w:val="28"/>
          <w:szCs w:val="28"/>
        </w:rPr>
      </w:pPr>
      <w:r>
        <w:br w:type="page"/>
      </w:r>
    </w:p>
    <w:p w:rsidR="001868AE" w:rsidRDefault="001868AE" w:rsidP="001868AE">
      <w:pPr>
        <w:pStyle w:val="Heading1"/>
        <w:rPr>
          <w:rFonts w:eastAsia="Calibri"/>
        </w:rPr>
      </w:pPr>
      <w:r>
        <w:rPr>
          <w:rFonts w:eastAsia="Calibri"/>
        </w:rPr>
        <w:lastRenderedPageBreak/>
        <w:t>Introduction</w:t>
      </w:r>
    </w:p>
    <w:p w:rsidR="001868AE" w:rsidRDefault="007A6116" w:rsidP="00C65520">
      <w:pPr>
        <w:spacing w:after="0" w:line="480" w:lineRule="auto"/>
        <w:rPr>
          <w:rFonts w:ascii="Times New Roman" w:eastAsia="Calibri" w:hAnsi="Times New Roman" w:cs="Times New Roman"/>
          <w:sz w:val="24"/>
        </w:rPr>
      </w:pPr>
      <w:r w:rsidRPr="005C027E">
        <w:rPr>
          <w:rFonts w:ascii="Times New Roman" w:eastAsia="Calibri" w:hAnsi="Times New Roman" w:cs="Times New Roman"/>
          <w:sz w:val="24"/>
        </w:rPr>
        <w:t>The United States Department of Housing and Urban</w:t>
      </w:r>
      <w:r>
        <w:rPr>
          <w:rFonts w:ascii="Times New Roman" w:eastAsia="Calibri" w:hAnsi="Times New Roman" w:cs="Times New Roman"/>
          <w:sz w:val="24"/>
        </w:rPr>
        <w:t xml:space="preserve"> Development (HUD)</w:t>
      </w:r>
      <w:r w:rsidRPr="005C027E">
        <w:rPr>
          <w:rFonts w:ascii="Times New Roman" w:eastAsia="Calibri" w:hAnsi="Times New Roman" w:cs="Times New Roman"/>
          <w:sz w:val="24"/>
        </w:rPr>
        <w:t xml:space="preserve">’s measure </w:t>
      </w:r>
      <w:r>
        <w:rPr>
          <w:rFonts w:ascii="Times New Roman" w:eastAsia="Calibri" w:hAnsi="Times New Roman" w:cs="Times New Roman"/>
          <w:sz w:val="24"/>
        </w:rPr>
        <w:t xml:space="preserve">of housing affordability </w:t>
      </w:r>
      <w:r w:rsidRPr="005C027E">
        <w:rPr>
          <w:rFonts w:ascii="Times New Roman" w:eastAsia="Calibri" w:hAnsi="Times New Roman" w:cs="Times New Roman"/>
          <w:sz w:val="24"/>
        </w:rPr>
        <w:t>is the most widely used and the most conventional meas</w:t>
      </w:r>
      <w:r>
        <w:rPr>
          <w:rFonts w:ascii="Times New Roman" w:eastAsia="Calibri" w:hAnsi="Times New Roman" w:cs="Times New Roman"/>
          <w:sz w:val="24"/>
        </w:rPr>
        <w:t>ure of housing affordability</w:t>
      </w:r>
      <w:r w:rsidR="00D05438">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00D05438" w:rsidRPr="00D05438">
        <w:rPr>
          <w:rFonts w:ascii="Times New Roman" w:eastAsia="Calibri" w:hAnsi="Times New Roman" w:cs="Times New Roman"/>
          <w:sz w:val="24"/>
        </w:rPr>
        <w:t>According to the HUD measure, total housing costs at or below 30% of gross annual income are affordable (Belsky, Goodman, &amp; Drew, 2005).</w:t>
      </w:r>
      <w:r w:rsidR="00D05438">
        <w:rPr>
          <w:rFonts w:ascii="Times New Roman" w:eastAsia="Calibri" w:hAnsi="Times New Roman" w:cs="Times New Roman"/>
          <w:sz w:val="24"/>
        </w:rPr>
        <w:t xml:space="preserve"> This is</w:t>
      </w:r>
      <w:r w:rsidRPr="005C027E">
        <w:rPr>
          <w:rFonts w:ascii="Times New Roman" w:eastAsia="Calibri" w:hAnsi="Times New Roman" w:cs="Times New Roman"/>
          <w:sz w:val="24"/>
        </w:rPr>
        <w:t xml:space="preserve"> often considered </w:t>
      </w:r>
      <w:r>
        <w:rPr>
          <w:rFonts w:ascii="Times New Roman" w:eastAsia="Calibri" w:hAnsi="Times New Roman" w:cs="Times New Roman"/>
          <w:sz w:val="24"/>
        </w:rPr>
        <w:t xml:space="preserve">as </w:t>
      </w:r>
      <w:r w:rsidRPr="005C027E">
        <w:rPr>
          <w:rFonts w:ascii="Times New Roman" w:eastAsia="Calibri" w:hAnsi="Times New Roman" w:cs="Times New Roman"/>
          <w:sz w:val="24"/>
        </w:rPr>
        <w:t>the definition of housing affordability (Linneman &amp; Megbolugbe, 1992)</w:t>
      </w:r>
      <w:r w:rsidR="00D05438" w:rsidRPr="00D05438">
        <w:t xml:space="preserve"> </w:t>
      </w:r>
      <w:r w:rsidR="00D05438" w:rsidRPr="00D05438">
        <w:rPr>
          <w:rFonts w:ascii="Times New Roman" w:eastAsia="Calibri" w:hAnsi="Times New Roman" w:cs="Times New Roman"/>
          <w:sz w:val="24"/>
        </w:rPr>
        <w:t xml:space="preserve">and has shaped views of who has affordability problems, the severity of problems, and the extent of the problems (Belsky, Goodman, &amp; Drew, 2005). </w:t>
      </w:r>
      <w:r w:rsidRPr="005C027E">
        <w:rPr>
          <w:rFonts w:ascii="Times New Roman" w:eastAsia="Calibri" w:hAnsi="Times New Roman" w:cs="Times New Roman"/>
          <w:sz w:val="24"/>
        </w:rPr>
        <w:t xml:space="preserve"> </w:t>
      </w:r>
      <w:r w:rsidR="00D05438">
        <w:rPr>
          <w:rFonts w:ascii="Times New Roman" w:eastAsia="Calibri" w:hAnsi="Times New Roman" w:cs="Times New Roman"/>
          <w:sz w:val="24"/>
        </w:rPr>
        <w:t xml:space="preserve">It </w:t>
      </w:r>
      <w:r w:rsidR="00D05438" w:rsidRPr="00D05438">
        <w:rPr>
          <w:rFonts w:ascii="Times New Roman" w:eastAsia="Calibri" w:hAnsi="Times New Roman" w:cs="Times New Roman"/>
          <w:sz w:val="24"/>
        </w:rPr>
        <w:t>is simple to compute and the raw data is easily available from a few recognized sources (Bogdon &amp; Can, 1997) such as the U.S. Census Bureau, the American Housing Survey.</w:t>
      </w:r>
    </w:p>
    <w:p w:rsidR="005C027E" w:rsidRPr="007C047B" w:rsidRDefault="005C027E" w:rsidP="00C65520">
      <w:pPr>
        <w:spacing w:after="0" w:line="480" w:lineRule="auto"/>
        <w:ind w:firstLine="720"/>
        <w:rPr>
          <w:rFonts w:ascii="Times New Roman" w:eastAsia="Calibri" w:hAnsi="Times New Roman" w:cs="Times New Roman"/>
          <w:sz w:val="24"/>
        </w:rPr>
      </w:pPr>
      <w:r w:rsidRPr="005C027E">
        <w:rPr>
          <w:rFonts w:ascii="Times New Roman" w:eastAsia="Calibri" w:hAnsi="Times New Roman" w:cs="Times New Roman"/>
          <w:sz w:val="24"/>
        </w:rPr>
        <w:t xml:space="preserve">The HUD measure is </w:t>
      </w:r>
      <w:r>
        <w:rPr>
          <w:rFonts w:ascii="Times New Roman" w:eastAsia="Calibri" w:hAnsi="Times New Roman" w:cs="Times New Roman"/>
          <w:sz w:val="24"/>
        </w:rPr>
        <w:t xml:space="preserve">also </w:t>
      </w:r>
      <w:r w:rsidRPr="005C027E">
        <w:rPr>
          <w:rFonts w:ascii="Times New Roman" w:eastAsia="Calibri" w:hAnsi="Times New Roman" w:cs="Times New Roman"/>
          <w:sz w:val="24"/>
        </w:rPr>
        <w:t xml:space="preserve">the legislative standard used to qualify applicants for housing assistance. It is used in the administration of rental housing subsidies, such as the Section 8 housing vouchers (Bogdon &amp; Can, 1997). </w:t>
      </w:r>
      <w:r w:rsidR="00F10D68" w:rsidRPr="00F10D68">
        <w:rPr>
          <w:rFonts w:ascii="Times New Roman" w:eastAsia="Calibri" w:hAnsi="Times New Roman" w:cs="Times New Roman"/>
          <w:sz w:val="24"/>
          <w:highlight w:val="yellow"/>
        </w:rPr>
        <w:t xml:space="preserve">The </w:t>
      </w:r>
      <w:r w:rsidR="00AB37D7" w:rsidRPr="00F10D68">
        <w:rPr>
          <w:rFonts w:ascii="Times New Roman" w:eastAsia="Calibri" w:hAnsi="Times New Roman" w:cs="Times New Roman"/>
          <w:sz w:val="24"/>
          <w:highlight w:val="yellow"/>
        </w:rPr>
        <w:t xml:space="preserve">HUD Section 8 </w:t>
      </w:r>
      <w:r w:rsidR="00F10D68" w:rsidRPr="00F10D68">
        <w:rPr>
          <w:rFonts w:ascii="Times New Roman" w:eastAsia="Calibri" w:hAnsi="Times New Roman" w:cs="Times New Roman"/>
          <w:sz w:val="24"/>
          <w:highlight w:val="yellow"/>
        </w:rPr>
        <w:t xml:space="preserve">New Construction and Substantial Rehabilitation Program, and other Section 8 </w:t>
      </w:r>
      <w:r w:rsidR="00F10D68">
        <w:rPr>
          <w:rFonts w:ascii="Times New Roman" w:eastAsia="Calibri" w:hAnsi="Times New Roman" w:cs="Times New Roman"/>
          <w:sz w:val="24"/>
          <w:highlight w:val="yellow"/>
        </w:rPr>
        <w:t>privately owned rental h</w:t>
      </w:r>
      <w:r w:rsidR="00F10D68" w:rsidRPr="00F10D68">
        <w:rPr>
          <w:rFonts w:ascii="Times New Roman" w:eastAsia="Calibri" w:hAnsi="Times New Roman" w:cs="Times New Roman"/>
          <w:sz w:val="24"/>
          <w:highlight w:val="yellow"/>
        </w:rPr>
        <w:t xml:space="preserve">ousing programs, pay owners the difference between a fair market rent and </w:t>
      </w:r>
      <w:r w:rsidR="00E92C7E" w:rsidRPr="00F10D68">
        <w:rPr>
          <w:rFonts w:ascii="Times New Roman" w:eastAsia="Calibri" w:hAnsi="Times New Roman" w:cs="Times New Roman"/>
          <w:sz w:val="24"/>
          <w:highlight w:val="yellow"/>
        </w:rPr>
        <w:t xml:space="preserve">30 percent of </w:t>
      </w:r>
      <w:r w:rsidR="00F10D68" w:rsidRPr="00F10D68">
        <w:rPr>
          <w:rFonts w:ascii="Times New Roman" w:eastAsia="Calibri" w:hAnsi="Times New Roman" w:cs="Times New Roman"/>
          <w:sz w:val="24"/>
          <w:highlight w:val="yellow"/>
        </w:rPr>
        <w:t>tenant adjusted income</w:t>
      </w:r>
      <w:r w:rsidRPr="00E92C7E">
        <w:rPr>
          <w:rFonts w:ascii="Times New Roman" w:eastAsia="Calibri" w:hAnsi="Times New Roman" w:cs="Times New Roman"/>
          <w:sz w:val="24"/>
          <w:highlight w:val="yellow"/>
        </w:rPr>
        <w:t>.</w:t>
      </w:r>
      <w:r w:rsidR="00631DE7">
        <w:rPr>
          <w:rStyle w:val="FootnoteReference"/>
          <w:rFonts w:ascii="Times New Roman" w:eastAsia="Calibri" w:hAnsi="Times New Roman" w:cs="Times New Roman"/>
          <w:sz w:val="24"/>
          <w:highlight w:val="yellow"/>
        </w:rPr>
        <w:footnoteReference w:id="1"/>
      </w:r>
      <w:r>
        <w:rPr>
          <w:rFonts w:ascii="Times New Roman" w:eastAsia="Calibri" w:hAnsi="Times New Roman" w:cs="Times New Roman"/>
          <w:sz w:val="24"/>
        </w:rPr>
        <w:t xml:space="preserve"> </w:t>
      </w:r>
      <w:r w:rsidR="00F10D68" w:rsidRPr="008133CF">
        <w:rPr>
          <w:rFonts w:ascii="Times New Roman" w:eastAsia="Calibri" w:hAnsi="Times New Roman" w:cs="Times New Roman"/>
          <w:sz w:val="24"/>
          <w:highlight w:val="yellow"/>
        </w:rPr>
        <w:t>These are the programs we focus on in this paper.</w:t>
      </w:r>
      <w:r w:rsidR="00F10D68">
        <w:rPr>
          <w:rFonts w:ascii="Times New Roman" w:eastAsia="Calibri" w:hAnsi="Times New Roman" w:cs="Times New Roman"/>
          <w:sz w:val="24"/>
        </w:rPr>
        <w:t xml:space="preserve"> </w:t>
      </w:r>
      <w:r w:rsidRPr="007C047B">
        <w:rPr>
          <w:rFonts w:ascii="Times New Roman" w:eastAsia="Calibri" w:hAnsi="Times New Roman" w:cs="Times New Roman"/>
          <w:sz w:val="24"/>
        </w:rPr>
        <w:t xml:space="preserve">We can assume, therefore, that housing costs alone are affordable for households participating in </w:t>
      </w:r>
      <w:r w:rsidR="008133CF" w:rsidRPr="008133CF">
        <w:rPr>
          <w:rFonts w:ascii="Times New Roman" w:eastAsia="Calibri" w:hAnsi="Times New Roman" w:cs="Times New Roman"/>
          <w:sz w:val="24"/>
          <w:highlight w:val="yellow"/>
        </w:rPr>
        <w:t>these</w:t>
      </w:r>
      <w:r w:rsidR="008133CF">
        <w:rPr>
          <w:rFonts w:ascii="Times New Roman" w:eastAsia="Calibri" w:hAnsi="Times New Roman" w:cs="Times New Roman"/>
          <w:sz w:val="24"/>
        </w:rPr>
        <w:t xml:space="preserve"> </w:t>
      </w:r>
      <w:r w:rsidRPr="007C047B">
        <w:rPr>
          <w:rFonts w:ascii="Times New Roman" w:eastAsia="Calibri" w:hAnsi="Times New Roman" w:cs="Times New Roman"/>
          <w:sz w:val="24"/>
        </w:rPr>
        <w:t>H</w:t>
      </w:r>
      <w:r w:rsidR="00D05438">
        <w:rPr>
          <w:rFonts w:ascii="Times New Roman" w:eastAsia="Calibri" w:hAnsi="Times New Roman" w:cs="Times New Roman"/>
          <w:sz w:val="24"/>
        </w:rPr>
        <w:t xml:space="preserve">UD rental assistance programs. </w:t>
      </w:r>
      <w:r w:rsidRPr="007C047B">
        <w:rPr>
          <w:rFonts w:ascii="Times New Roman" w:eastAsia="Calibri" w:hAnsi="Times New Roman" w:cs="Times New Roman"/>
          <w:sz w:val="24"/>
        </w:rPr>
        <w:t xml:space="preserve">But is the housing </w:t>
      </w:r>
      <w:r w:rsidR="0090306F">
        <w:rPr>
          <w:rFonts w:ascii="Times New Roman" w:eastAsia="Calibri" w:hAnsi="Times New Roman" w:cs="Times New Roman"/>
          <w:sz w:val="24"/>
        </w:rPr>
        <w:t xml:space="preserve">under </w:t>
      </w:r>
      <w:r w:rsidR="008133CF" w:rsidRPr="008133CF">
        <w:rPr>
          <w:rFonts w:ascii="Times New Roman" w:eastAsia="Calibri" w:hAnsi="Times New Roman" w:cs="Times New Roman"/>
          <w:sz w:val="24"/>
          <w:highlight w:val="yellow"/>
        </w:rPr>
        <w:t>these</w:t>
      </w:r>
      <w:r w:rsidR="0090306F" w:rsidRPr="0090306F">
        <w:rPr>
          <w:rFonts w:ascii="Times New Roman" w:eastAsia="Calibri" w:hAnsi="Times New Roman" w:cs="Times New Roman"/>
          <w:sz w:val="24"/>
        </w:rPr>
        <w:t xml:space="preserve"> programs </w:t>
      </w:r>
      <w:r w:rsidR="0090306F">
        <w:rPr>
          <w:rFonts w:ascii="Times New Roman" w:eastAsia="Calibri" w:hAnsi="Times New Roman" w:cs="Times New Roman"/>
          <w:sz w:val="24"/>
        </w:rPr>
        <w:t>still affordable when taking into account the</w:t>
      </w:r>
      <w:r w:rsidRPr="007C047B">
        <w:rPr>
          <w:rFonts w:ascii="Times New Roman" w:eastAsia="Calibri" w:hAnsi="Times New Roman" w:cs="Times New Roman"/>
          <w:sz w:val="24"/>
        </w:rPr>
        <w:t xml:space="preserve"> transportation </w:t>
      </w:r>
      <w:r w:rsidR="0090306F">
        <w:rPr>
          <w:rFonts w:ascii="Times New Roman" w:eastAsia="Calibri" w:hAnsi="Times New Roman" w:cs="Times New Roman"/>
          <w:sz w:val="24"/>
        </w:rPr>
        <w:t>costs</w:t>
      </w:r>
      <w:r w:rsidRPr="007C047B">
        <w:rPr>
          <w:rFonts w:ascii="Times New Roman" w:eastAsia="Calibri" w:hAnsi="Times New Roman" w:cs="Times New Roman"/>
          <w:sz w:val="24"/>
        </w:rPr>
        <w:t>?</w:t>
      </w:r>
      <w:r w:rsidRPr="005C027E">
        <w:rPr>
          <w:rFonts w:ascii="Times New Roman" w:eastAsia="Calibri" w:hAnsi="Times New Roman" w:cs="Times New Roman"/>
          <w:sz w:val="24"/>
        </w:rPr>
        <w:t xml:space="preserve"> </w:t>
      </w:r>
    </w:p>
    <w:p w:rsidR="001868AE" w:rsidRPr="001868AE" w:rsidRDefault="00D05438" w:rsidP="00C65520">
      <w:pPr>
        <w:spacing w:after="0" w:line="480" w:lineRule="auto"/>
        <w:ind w:firstLine="720"/>
        <w:rPr>
          <w:rFonts w:ascii="Times New Roman" w:eastAsia="Calibri" w:hAnsi="Times New Roman" w:cs="Times New Roman"/>
          <w:sz w:val="24"/>
        </w:rPr>
      </w:pPr>
      <w:r w:rsidRPr="00D05438">
        <w:rPr>
          <w:rFonts w:ascii="Times New Roman" w:eastAsia="Calibri" w:hAnsi="Times New Roman" w:cs="Times New Roman"/>
          <w:sz w:val="24"/>
        </w:rPr>
        <w:lastRenderedPageBreak/>
        <w:t>HUD has no way of knowing since transportation costs fall outside its purview and regulations.</w:t>
      </w:r>
      <w:r w:rsidR="00E97B82">
        <w:rPr>
          <w:rStyle w:val="FootnoteReference"/>
          <w:rFonts w:ascii="Times New Roman" w:eastAsia="Calibri" w:hAnsi="Times New Roman" w:cs="Times New Roman"/>
          <w:sz w:val="24"/>
        </w:rPr>
        <w:footnoteReference w:id="2"/>
      </w:r>
      <w:r>
        <w:rPr>
          <w:rFonts w:ascii="Times New Roman" w:eastAsia="Calibri" w:hAnsi="Times New Roman" w:cs="Times New Roman"/>
          <w:sz w:val="24"/>
        </w:rPr>
        <w:t xml:space="preserve"> But t</w:t>
      </w:r>
      <w:r w:rsidR="002B69C2">
        <w:rPr>
          <w:rFonts w:ascii="Times New Roman" w:eastAsia="Calibri" w:hAnsi="Times New Roman" w:cs="Times New Roman"/>
          <w:sz w:val="24"/>
        </w:rPr>
        <w:t>ransportation cost</w:t>
      </w:r>
      <w:r w:rsidR="007858D1">
        <w:rPr>
          <w:rFonts w:ascii="Times New Roman" w:eastAsia="Calibri" w:hAnsi="Times New Roman" w:cs="Times New Roman"/>
          <w:sz w:val="24"/>
        </w:rPr>
        <w:t>, after housing,</w:t>
      </w:r>
      <w:r w:rsidR="0090306F">
        <w:rPr>
          <w:rFonts w:ascii="Times New Roman" w:eastAsia="Calibri" w:hAnsi="Times New Roman" w:cs="Times New Roman"/>
          <w:sz w:val="24"/>
        </w:rPr>
        <w:t xml:space="preserve"> is the </w:t>
      </w:r>
      <w:r w:rsidR="007858D1">
        <w:rPr>
          <w:rFonts w:ascii="Times New Roman" w:eastAsia="Calibri" w:hAnsi="Times New Roman" w:cs="Times New Roman"/>
          <w:sz w:val="24"/>
        </w:rPr>
        <w:t xml:space="preserve">second </w:t>
      </w:r>
      <w:r w:rsidR="002B69C2">
        <w:rPr>
          <w:rFonts w:ascii="Times New Roman" w:eastAsia="Calibri" w:hAnsi="Times New Roman" w:cs="Times New Roman"/>
          <w:sz w:val="24"/>
        </w:rPr>
        <w:t>biggest expense</w:t>
      </w:r>
      <w:r w:rsidR="007858D1" w:rsidRPr="007858D1">
        <w:rPr>
          <w:rFonts w:ascii="Times New Roman" w:eastAsia="Calibri" w:hAnsi="Times New Roman" w:cs="Times New Roman"/>
          <w:sz w:val="24"/>
        </w:rPr>
        <w:t xml:space="preserve"> in the budgets of most </w:t>
      </w:r>
      <w:r w:rsidR="007858D1">
        <w:rPr>
          <w:rFonts w:ascii="Times New Roman" w:eastAsia="Calibri" w:hAnsi="Times New Roman" w:cs="Times New Roman"/>
          <w:sz w:val="24"/>
        </w:rPr>
        <w:t xml:space="preserve">American </w:t>
      </w:r>
      <w:r w:rsidR="007858D1" w:rsidRPr="007858D1">
        <w:rPr>
          <w:rFonts w:ascii="Times New Roman" w:eastAsia="Calibri" w:hAnsi="Times New Roman" w:cs="Times New Roman"/>
          <w:sz w:val="24"/>
        </w:rPr>
        <w:t xml:space="preserve">households </w:t>
      </w:r>
      <w:r w:rsidR="0090306F" w:rsidRPr="0090306F">
        <w:rPr>
          <w:rFonts w:ascii="Times New Roman" w:eastAsia="Calibri" w:hAnsi="Times New Roman" w:cs="Times New Roman"/>
          <w:sz w:val="24"/>
        </w:rPr>
        <w:t>particularly for those</w:t>
      </w:r>
      <w:r w:rsidR="007858D1">
        <w:rPr>
          <w:rFonts w:ascii="Times New Roman" w:eastAsia="Calibri" w:hAnsi="Times New Roman" w:cs="Times New Roman"/>
          <w:sz w:val="24"/>
        </w:rPr>
        <w:t xml:space="preserve"> settled along the urban fringe</w:t>
      </w:r>
      <w:r w:rsidR="0090306F" w:rsidRPr="0090306F">
        <w:rPr>
          <w:rFonts w:ascii="Times New Roman" w:eastAsia="Calibri" w:hAnsi="Times New Roman" w:cs="Times New Roman"/>
          <w:sz w:val="24"/>
        </w:rPr>
        <w:t xml:space="preserve">. </w:t>
      </w:r>
      <w:r w:rsidR="007858D1" w:rsidRPr="0090306F">
        <w:rPr>
          <w:rFonts w:ascii="Times New Roman" w:eastAsia="Calibri" w:hAnsi="Times New Roman" w:cs="Times New Roman"/>
          <w:sz w:val="24"/>
        </w:rPr>
        <w:t>Less costly alternatives to automobile travel, particularly public transit, are typically much less accessible and thus largely impractical in suburban and exurban locations relative to central cities.</w:t>
      </w:r>
      <w:r w:rsidR="007858D1" w:rsidRPr="007858D1">
        <w:rPr>
          <w:rFonts w:ascii="Times New Roman" w:eastAsia="Calibri" w:hAnsi="Times New Roman" w:cs="Times New Roman"/>
          <w:sz w:val="24"/>
        </w:rPr>
        <w:t xml:space="preserve"> </w:t>
      </w:r>
      <w:r w:rsidR="000D4CE3" w:rsidRPr="00A76ABF">
        <w:rPr>
          <w:rFonts w:ascii="Times New Roman" w:eastAsia="Calibri" w:hAnsi="Times New Roman" w:cs="Times New Roman"/>
          <w:sz w:val="24"/>
          <w:highlight w:val="yellow"/>
        </w:rPr>
        <w:t xml:space="preserve">Despite a recent dip in gasoline prices, the Energy Information Administration predicts a rise in real </w:t>
      </w:r>
      <w:r w:rsidR="007858D1" w:rsidRPr="00A76ABF">
        <w:rPr>
          <w:rFonts w:ascii="Times New Roman" w:eastAsia="Calibri" w:hAnsi="Times New Roman" w:cs="Times New Roman"/>
          <w:sz w:val="24"/>
          <w:highlight w:val="yellow"/>
        </w:rPr>
        <w:t xml:space="preserve">fuel costs </w:t>
      </w:r>
      <w:r w:rsidR="000D4CE3" w:rsidRPr="00A76ABF">
        <w:rPr>
          <w:rFonts w:ascii="Times New Roman" w:eastAsia="Calibri" w:hAnsi="Times New Roman" w:cs="Times New Roman"/>
          <w:sz w:val="24"/>
          <w:highlight w:val="yellow"/>
        </w:rPr>
        <w:t>in the years ahead</w:t>
      </w:r>
      <w:r w:rsidR="007858D1" w:rsidRPr="00A76ABF">
        <w:rPr>
          <w:rFonts w:ascii="Times New Roman" w:eastAsia="Calibri" w:hAnsi="Times New Roman" w:cs="Times New Roman"/>
          <w:sz w:val="24"/>
          <w:highlight w:val="yellow"/>
        </w:rPr>
        <w:t>, consuming progress</w:t>
      </w:r>
      <w:r w:rsidR="001868AE" w:rsidRPr="00A76ABF">
        <w:rPr>
          <w:rFonts w:ascii="Times New Roman" w:eastAsia="Calibri" w:hAnsi="Times New Roman" w:cs="Times New Roman"/>
          <w:sz w:val="24"/>
          <w:highlight w:val="yellow"/>
        </w:rPr>
        <w:t>ively larger shares of income</w:t>
      </w:r>
      <w:r w:rsidR="000D4CE3" w:rsidRPr="00A76ABF">
        <w:rPr>
          <w:rFonts w:ascii="Times New Roman" w:eastAsia="Calibri" w:hAnsi="Times New Roman" w:cs="Times New Roman"/>
          <w:sz w:val="24"/>
          <w:highlight w:val="yellow"/>
        </w:rPr>
        <w:t xml:space="preserve"> (EIA 2014)</w:t>
      </w:r>
      <w:r w:rsidR="001868AE" w:rsidRPr="00A76ABF">
        <w:rPr>
          <w:rFonts w:ascii="Times New Roman" w:eastAsia="Calibri" w:hAnsi="Times New Roman" w:cs="Times New Roman"/>
          <w:sz w:val="24"/>
          <w:highlight w:val="yellow"/>
        </w:rPr>
        <w:t>.</w:t>
      </w:r>
      <w:r w:rsidR="001868AE">
        <w:rPr>
          <w:rFonts w:ascii="Times New Roman" w:eastAsia="Calibri" w:hAnsi="Times New Roman" w:cs="Times New Roman"/>
          <w:sz w:val="24"/>
        </w:rPr>
        <w:t xml:space="preserve"> </w:t>
      </w:r>
    </w:p>
    <w:p w:rsidR="001868AE" w:rsidRPr="001868AE" w:rsidRDefault="007858D1" w:rsidP="00C65520">
      <w:pPr>
        <w:autoSpaceDE w:val="0"/>
        <w:autoSpaceDN w:val="0"/>
        <w:adjustRightInd w:val="0"/>
        <w:spacing w:after="0" w:line="480" w:lineRule="auto"/>
        <w:ind w:firstLine="720"/>
      </w:pPr>
      <w:r w:rsidRPr="007858D1">
        <w:rPr>
          <w:rFonts w:ascii="Times New Roman" w:hAnsi="Times New Roman" w:cs="Times New Roman"/>
          <w:color w:val="000000"/>
          <w:sz w:val="24"/>
          <w:szCs w:val="24"/>
        </w:rPr>
        <w:t xml:space="preserve">Previous studies show that there is a clear tradeoff between the housing and transportation expenses of </w:t>
      </w:r>
      <w:r w:rsidRPr="00A76ABF">
        <w:rPr>
          <w:rFonts w:ascii="Times New Roman" w:hAnsi="Times New Roman" w:cs="Times New Roman"/>
          <w:color w:val="000000"/>
          <w:sz w:val="24"/>
          <w:szCs w:val="24"/>
          <w:highlight w:val="yellow"/>
        </w:rPr>
        <w:t>families</w:t>
      </w:r>
      <w:r w:rsidR="00A76ABF" w:rsidRPr="00A76ABF">
        <w:rPr>
          <w:rFonts w:ascii="Times New Roman" w:hAnsi="Times New Roman" w:cs="Times New Roman"/>
          <w:color w:val="000000"/>
          <w:sz w:val="24"/>
          <w:szCs w:val="24"/>
          <w:highlight w:val="yellow"/>
        </w:rPr>
        <w:t xml:space="preserve"> with one or more working members</w:t>
      </w:r>
      <w:r w:rsidRPr="007858D1">
        <w:rPr>
          <w:rFonts w:ascii="Times New Roman" w:hAnsi="Times New Roman" w:cs="Times New Roman"/>
          <w:color w:val="000000"/>
          <w:sz w:val="24"/>
          <w:szCs w:val="24"/>
        </w:rPr>
        <w:t xml:space="preserve">. Families that spend more than half of their total household expenditures on housing put 7.5 percent of their budget towards transportation. By contrast, families that spend 30 percent or less of their total budget on housing spend nearly one-quarter of their budget on transportation - three times as much as those in less affordable housing (Dietz 1993 and </w:t>
      </w:r>
      <w:r w:rsidR="001D69C6" w:rsidRPr="001D69C6">
        <w:rPr>
          <w:rFonts w:ascii="Times New Roman" w:hAnsi="Times New Roman" w:cs="Times New Roman"/>
          <w:color w:val="000000"/>
          <w:sz w:val="24"/>
          <w:szCs w:val="24"/>
        </w:rPr>
        <w:t>Lipman</w:t>
      </w:r>
      <w:r w:rsidRPr="007858D1">
        <w:rPr>
          <w:rFonts w:ascii="Times New Roman" w:hAnsi="Times New Roman" w:cs="Times New Roman"/>
          <w:color w:val="000000"/>
          <w:sz w:val="24"/>
          <w:szCs w:val="24"/>
        </w:rPr>
        <w:t xml:space="preserve"> 2006).</w:t>
      </w:r>
      <w:r w:rsidRPr="007858D1">
        <w:t xml:space="preserve"> </w:t>
      </w:r>
    </w:p>
    <w:p w:rsidR="001868AE" w:rsidRDefault="007C047B" w:rsidP="00C65520">
      <w:pPr>
        <w:spacing w:after="0" w:line="480" w:lineRule="auto"/>
        <w:ind w:firstLine="720"/>
        <w:rPr>
          <w:rFonts w:ascii="Times New Roman" w:eastAsia="Calibri" w:hAnsi="Times New Roman" w:cs="Times New Roman"/>
          <w:sz w:val="24"/>
        </w:rPr>
      </w:pPr>
      <w:r w:rsidRPr="007C047B">
        <w:rPr>
          <w:rFonts w:ascii="Times New Roman" w:eastAsia="Calibri" w:hAnsi="Times New Roman" w:cs="Times New Roman"/>
          <w:sz w:val="24"/>
        </w:rPr>
        <w:t xml:space="preserve">This </w:t>
      </w:r>
      <w:r w:rsidR="007858D1">
        <w:rPr>
          <w:rFonts w:ascii="Times New Roman" w:eastAsia="Calibri" w:hAnsi="Times New Roman" w:cs="Times New Roman"/>
          <w:sz w:val="24"/>
        </w:rPr>
        <w:t>study</w:t>
      </w:r>
      <w:r w:rsidRPr="007C047B">
        <w:rPr>
          <w:rFonts w:ascii="Times New Roman" w:eastAsia="Calibri" w:hAnsi="Times New Roman" w:cs="Times New Roman"/>
          <w:sz w:val="24"/>
        </w:rPr>
        <w:t xml:space="preserve"> </w:t>
      </w:r>
      <w:r w:rsidR="007858D1">
        <w:rPr>
          <w:rFonts w:ascii="Times New Roman" w:eastAsia="Calibri" w:hAnsi="Times New Roman" w:cs="Times New Roman"/>
          <w:sz w:val="24"/>
        </w:rPr>
        <w:t>seeks to</w:t>
      </w:r>
      <w:r w:rsidRPr="007C047B">
        <w:rPr>
          <w:rFonts w:ascii="Times New Roman" w:eastAsia="Calibri" w:hAnsi="Times New Roman" w:cs="Times New Roman"/>
          <w:sz w:val="24"/>
        </w:rPr>
        <w:t xml:space="preserve"> determine whether HUD rental assistance programs provide “affordable housing” when transportation costs are factored in.  </w:t>
      </w:r>
      <w:r w:rsidR="00E74916" w:rsidRPr="00E74916">
        <w:rPr>
          <w:rFonts w:ascii="Times New Roman" w:eastAsia="Calibri" w:hAnsi="Times New Roman" w:cs="Times New Roman"/>
          <w:sz w:val="24"/>
        </w:rPr>
        <w:t xml:space="preserve">This study </w:t>
      </w:r>
      <w:r w:rsidR="00B258E9">
        <w:rPr>
          <w:rFonts w:ascii="Times New Roman" w:eastAsia="Calibri" w:hAnsi="Times New Roman" w:cs="Times New Roman"/>
          <w:sz w:val="24"/>
        </w:rPr>
        <w:t>is built</w:t>
      </w:r>
      <w:r w:rsidR="00E74916" w:rsidRPr="00E74916">
        <w:rPr>
          <w:rFonts w:ascii="Times New Roman" w:eastAsia="Calibri" w:hAnsi="Times New Roman" w:cs="Times New Roman"/>
          <w:sz w:val="24"/>
        </w:rPr>
        <w:t xml:space="preserve"> on the work of the Center for Neighborhood Technology (CNT) with their Housing + Transportation (H+T) Affordability Index</w:t>
      </w:r>
      <w:r w:rsidR="00B258E9">
        <w:rPr>
          <w:rFonts w:ascii="Times New Roman" w:eastAsia="Calibri" w:hAnsi="Times New Roman" w:cs="Times New Roman"/>
          <w:sz w:val="24"/>
        </w:rPr>
        <w:t xml:space="preserve"> and</w:t>
      </w:r>
      <w:r w:rsidR="00E74916">
        <w:rPr>
          <w:rFonts w:ascii="Times New Roman" w:eastAsia="Calibri" w:hAnsi="Times New Roman" w:cs="Times New Roman"/>
          <w:sz w:val="24"/>
        </w:rPr>
        <w:t xml:space="preserve"> the more recent Location Affordability Index</w:t>
      </w:r>
      <w:r w:rsidR="00B258E9">
        <w:rPr>
          <w:rFonts w:ascii="Times New Roman" w:eastAsia="Calibri" w:hAnsi="Times New Roman" w:cs="Times New Roman"/>
          <w:sz w:val="24"/>
        </w:rPr>
        <w:t xml:space="preserve"> (LAI)</w:t>
      </w:r>
      <w:r w:rsidR="00E74916" w:rsidRPr="00E74916">
        <w:rPr>
          <w:rFonts w:ascii="Times New Roman" w:eastAsia="Calibri" w:hAnsi="Times New Roman" w:cs="Times New Roman"/>
          <w:sz w:val="24"/>
        </w:rPr>
        <w:t>.</w:t>
      </w:r>
      <w:r w:rsidR="00E74916" w:rsidRPr="00E74916">
        <w:t xml:space="preserve"> </w:t>
      </w:r>
      <w:r w:rsidR="00D05438">
        <w:rPr>
          <w:rFonts w:ascii="Times New Roman" w:eastAsia="Calibri" w:hAnsi="Times New Roman" w:cs="Times New Roman"/>
          <w:sz w:val="24"/>
        </w:rPr>
        <w:t>Under CNT’s guideline housing is affordable if the sum of H+T is</w:t>
      </w:r>
      <w:r w:rsidR="00E74916" w:rsidRPr="00E74916">
        <w:rPr>
          <w:rFonts w:ascii="Times New Roman" w:eastAsia="Calibri" w:hAnsi="Times New Roman" w:cs="Times New Roman"/>
          <w:sz w:val="24"/>
        </w:rPr>
        <w:t xml:space="preserve"> no more than 45 percent of household </w:t>
      </w:r>
      <w:r w:rsidR="00D05438">
        <w:rPr>
          <w:rFonts w:ascii="Times New Roman" w:eastAsia="Calibri" w:hAnsi="Times New Roman" w:cs="Times New Roman"/>
          <w:sz w:val="24"/>
        </w:rPr>
        <w:t>income</w:t>
      </w:r>
      <w:r w:rsidR="00E74916" w:rsidRPr="00E74916">
        <w:rPr>
          <w:rFonts w:ascii="Times New Roman" w:eastAsia="Calibri" w:hAnsi="Times New Roman" w:cs="Times New Roman"/>
          <w:sz w:val="24"/>
        </w:rPr>
        <w:t>, and that transportat</w:t>
      </w:r>
      <w:r w:rsidR="00D05438">
        <w:rPr>
          <w:rFonts w:ascii="Times New Roman" w:eastAsia="Calibri" w:hAnsi="Times New Roman" w:cs="Times New Roman"/>
          <w:sz w:val="24"/>
        </w:rPr>
        <w:t>ion costs alone is</w:t>
      </w:r>
      <w:r w:rsidR="00E74916" w:rsidRPr="00E74916">
        <w:rPr>
          <w:rFonts w:ascii="Times New Roman" w:eastAsia="Calibri" w:hAnsi="Times New Roman" w:cs="Times New Roman"/>
          <w:sz w:val="24"/>
        </w:rPr>
        <w:t xml:space="preserve"> no more than 15 per</w:t>
      </w:r>
      <w:r w:rsidR="00D05438">
        <w:rPr>
          <w:rFonts w:ascii="Times New Roman" w:eastAsia="Calibri" w:hAnsi="Times New Roman" w:cs="Times New Roman"/>
          <w:sz w:val="24"/>
        </w:rPr>
        <w:t>cent of income. This study uses the same guideline, but</w:t>
      </w:r>
      <w:r w:rsidR="00B258E9">
        <w:rPr>
          <w:rFonts w:ascii="Times New Roman" w:eastAsia="Calibri" w:hAnsi="Times New Roman" w:cs="Times New Roman"/>
          <w:sz w:val="24"/>
        </w:rPr>
        <w:t xml:space="preserve"> we</w:t>
      </w:r>
      <w:r w:rsidR="00E74916" w:rsidRPr="00E74916">
        <w:rPr>
          <w:rFonts w:ascii="Times New Roman" w:eastAsia="Calibri" w:hAnsi="Times New Roman" w:cs="Times New Roman"/>
          <w:sz w:val="24"/>
        </w:rPr>
        <w:t xml:space="preserve"> model household transportation costs very differently than does CNT, and estimate models that have greater validity and reliability than CNT’s because they are based on </w:t>
      </w:r>
      <w:r w:rsidR="009848AC">
        <w:rPr>
          <w:rFonts w:ascii="Times New Roman" w:eastAsia="Calibri" w:hAnsi="Times New Roman" w:cs="Times New Roman"/>
          <w:sz w:val="24"/>
        </w:rPr>
        <w:t>more robust</w:t>
      </w:r>
      <w:r w:rsidR="009848AC" w:rsidRPr="00E74916">
        <w:rPr>
          <w:rFonts w:ascii="Times New Roman" w:eastAsia="Calibri" w:hAnsi="Times New Roman" w:cs="Times New Roman"/>
          <w:sz w:val="24"/>
        </w:rPr>
        <w:t xml:space="preserve"> </w:t>
      </w:r>
      <w:r w:rsidR="00E74916" w:rsidRPr="00E74916">
        <w:rPr>
          <w:rFonts w:ascii="Times New Roman" w:eastAsia="Calibri" w:hAnsi="Times New Roman" w:cs="Times New Roman"/>
          <w:sz w:val="24"/>
        </w:rPr>
        <w:t xml:space="preserve">data and </w:t>
      </w:r>
      <w:r w:rsidR="009848AC">
        <w:rPr>
          <w:rFonts w:ascii="Times New Roman" w:eastAsia="Calibri" w:hAnsi="Times New Roman" w:cs="Times New Roman"/>
          <w:sz w:val="24"/>
        </w:rPr>
        <w:t>an improvement in the</w:t>
      </w:r>
      <w:r w:rsidR="00E74916" w:rsidRPr="00E74916">
        <w:rPr>
          <w:rFonts w:ascii="Times New Roman" w:eastAsia="Calibri" w:hAnsi="Times New Roman" w:cs="Times New Roman"/>
          <w:sz w:val="24"/>
        </w:rPr>
        <w:t xml:space="preserve"> methodology</w:t>
      </w:r>
      <w:r w:rsidR="00E74916">
        <w:rPr>
          <w:rFonts w:ascii="Times New Roman" w:eastAsia="Calibri" w:hAnsi="Times New Roman" w:cs="Times New Roman"/>
          <w:sz w:val="24"/>
        </w:rPr>
        <w:t>.</w:t>
      </w:r>
      <w:r w:rsidR="00D05438">
        <w:rPr>
          <w:rFonts w:ascii="Times New Roman" w:eastAsia="Calibri" w:hAnsi="Times New Roman" w:cs="Times New Roman"/>
          <w:sz w:val="24"/>
        </w:rPr>
        <w:t xml:space="preserve"> Also</w:t>
      </w:r>
      <w:r w:rsidR="00E74916" w:rsidRPr="00E74916">
        <w:rPr>
          <w:rFonts w:ascii="Times New Roman" w:eastAsia="Calibri" w:hAnsi="Times New Roman" w:cs="Times New Roman"/>
          <w:sz w:val="24"/>
        </w:rPr>
        <w:t xml:space="preserve"> the models </w:t>
      </w:r>
      <w:r w:rsidR="00D05438">
        <w:rPr>
          <w:rFonts w:ascii="Times New Roman" w:eastAsia="Calibri" w:hAnsi="Times New Roman" w:cs="Times New Roman"/>
          <w:sz w:val="24"/>
        </w:rPr>
        <w:t>in this study are</w:t>
      </w:r>
      <w:r w:rsidR="00E74916" w:rsidRPr="00E74916">
        <w:rPr>
          <w:rFonts w:ascii="Times New Roman" w:eastAsia="Calibri" w:hAnsi="Times New Roman" w:cs="Times New Roman"/>
          <w:sz w:val="24"/>
        </w:rPr>
        <w:t xml:space="preserve"> </w:t>
      </w:r>
      <w:r w:rsidR="00E74916" w:rsidRPr="00E74916">
        <w:rPr>
          <w:rFonts w:ascii="Times New Roman" w:eastAsia="Calibri" w:hAnsi="Times New Roman" w:cs="Times New Roman"/>
          <w:sz w:val="24"/>
        </w:rPr>
        <w:lastRenderedPageBreak/>
        <w:t xml:space="preserve">specific to low-income households, a group that has received little attention in the travel literature.  </w:t>
      </w:r>
    </w:p>
    <w:p w:rsidR="001868AE" w:rsidRPr="001868AE" w:rsidRDefault="001D1BD2" w:rsidP="00C65520">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Using a </w:t>
      </w:r>
      <w:r w:rsidR="00763834" w:rsidRPr="00763834">
        <w:rPr>
          <w:rFonts w:ascii="Times New Roman" w:eastAsia="Calibri" w:hAnsi="Times New Roman" w:cs="Times New Roman"/>
          <w:sz w:val="24"/>
        </w:rPr>
        <w:t xml:space="preserve">large </w:t>
      </w:r>
      <w:r>
        <w:rPr>
          <w:rFonts w:ascii="Times New Roman" w:eastAsia="Calibri" w:hAnsi="Times New Roman" w:cs="Times New Roman"/>
          <w:sz w:val="24"/>
        </w:rPr>
        <w:t xml:space="preserve">national </w:t>
      </w:r>
      <w:r w:rsidR="00763834" w:rsidRPr="00763834">
        <w:rPr>
          <w:rFonts w:ascii="Times New Roman" w:eastAsia="Calibri" w:hAnsi="Times New Roman" w:cs="Times New Roman"/>
          <w:sz w:val="24"/>
        </w:rPr>
        <w:t>sample (up to 34,000) properties listed in HUD’s Multif</w:t>
      </w:r>
      <w:r>
        <w:rPr>
          <w:rFonts w:ascii="Times New Roman" w:eastAsia="Calibri" w:hAnsi="Times New Roman" w:cs="Times New Roman"/>
          <w:sz w:val="24"/>
        </w:rPr>
        <w:t>amily Portfolio Dataset, en</w:t>
      </w:r>
      <w:r w:rsidR="00763834" w:rsidRPr="00763834">
        <w:rPr>
          <w:rFonts w:ascii="Times New Roman" w:eastAsia="Calibri" w:hAnsi="Times New Roman" w:cs="Times New Roman"/>
          <w:sz w:val="24"/>
        </w:rPr>
        <w:t xml:space="preserve">able </w:t>
      </w:r>
      <w:r>
        <w:rPr>
          <w:rFonts w:ascii="Times New Roman" w:eastAsia="Calibri" w:hAnsi="Times New Roman" w:cs="Times New Roman"/>
          <w:sz w:val="24"/>
        </w:rPr>
        <w:t xml:space="preserve">us </w:t>
      </w:r>
      <w:r w:rsidR="00763834" w:rsidRPr="00763834">
        <w:rPr>
          <w:rFonts w:ascii="Times New Roman" w:eastAsia="Calibri" w:hAnsi="Times New Roman" w:cs="Times New Roman"/>
          <w:sz w:val="24"/>
        </w:rPr>
        <w:t>to draw effectiveness conclusions about H</w:t>
      </w:r>
      <w:r>
        <w:rPr>
          <w:rFonts w:ascii="Times New Roman" w:eastAsia="Calibri" w:hAnsi="Times New Roman" w:cs="Times New Roman"/>
          <w:sz w:val="24"/>
        </w:rPr>
        <w:t xml:space="preserve">UD rental assistance programs. </w:t>
      </w:r>
      <w:bookmarkStart w:id="0" w:name="_Toc330817762"/>
    </w:p>
    <w:p w:rsidR="001868AE" w:rsidRPr="001868AE" w:rsidRDefault="001868AE" w:rsidP="00C65520">
      <w:pPr>
        <w:pStyle w:val="Heading1"/>
        <w:spacing w:line="480" w:lineRule="auto"/>
      </w:pPr>
      <w:r>
        <w:t>Literature Review</w:t>
      </w:r>
      <w:bookmarkEnd w:id="0"/>
    </w:p>
    <w:p w:rsidR="007C047B" w:rsidRPr="001868AE" w:rsidRDefault="00E74916" w:rsidP="00C65520">
      <w:pPr>
        <w:pStyle w:val="Heading2"/>
        <w:spacing w:line="480" w:lineRule="auto"/>
      </w:pPr>
      <w:r w:rsidRPr="001868AE">
        <w:t>Housing Affordability</w:t>
      </w:r>
    </w:p>
    <w:p w:rsidR="00442098" w:rsidRPr="00442098" w:rsidRDefault="00442098" w:rsidP="00C65520">
      <w:pPr>
        <w:autoSpaceDE w:val="0"/>
        <w:autoSpaceDN w:val="0"/>
        <w:adjustRightInd w:val="0"/>
        <w:spacing w:after="0" w:line="480" w:lineRule="auto"/>
        <w:rPr>
          <w:rFonts w:ascii="Times New Roman" w:hAnsi="Times New Roman" w:cs="Times New Roman"/>
          <w:color w:val="000000"/>
          <w:sz w:val="24"/>
          <w:szCs w:val="24"/>
        </w:rPr>
      </w:pPr>
      <w:r w:rsidRPr="00442098">
        <w:rPr>
          <w:rFonts w:ascii="Times New Roman" w:hAnsi="Times New Roman" w:cs="Times New Roman"/>
          <w:color w:val="000000"/>
          <w:sz w:val="24"/>
          <w:szCs w:val="24"/>
        </w:rPr>
        <w:t xml:space="preserve">The majority of studies of housing affordability focus on housing cost and its relationship to household income as the sole indicator of affordability (Belsky et al. 2005, Bogdon &amp; Can, 1997, Combs et al. 1994, Linneman &amp; Megbolugbe 1992, O’Dell et al. 2004, Robinson et al. 2006; U.S. Department of Housing and Urban Development (HUD) 2006, Yip &amp; Lau 2002). </w:t>
      </w:r>
      <w:r w:rsidRPr="00442098">
        <w:rPr>
          <w:rFonts w:ascii="Times New Roman" w:hAnsi="Times New Roman" w:cs="Times New Roman" w:hint="eastAsia"/>
          <w:color w:val="000000"/>
          <w:sz w:val="24"/>
          <w:szCs w:val="24"/>
        </w:rPr>
        <w:t>The main providers of affordability indexes in the US</w:t>
      </w:r>
      <w:r w:rsidRPr="00442098">
        <w:rPr>
          <w:rFonts w:ascii="Times New Roman" w:hAnsi="Times New Roman" w:cs="Times New Roman"/>
          <w:color w:val="000000"/>
          <w:sz w:val="24"/>
          <w:szCs w:val="24"/>
        </w:rPr>
        <w:t xml:space="preserve"> are</w:t>
      </w:r>
      <w:r w:rsidRPr="00442098">
        <w:rPr>
          <w:rFonts w:ascii="Times New Roman" w:hAnsi="Times New Roman" w:cs="Times New Roman" w:hint="eastAsia"/>
          <w:color w:val="000000"/>
          <w:sz w:val="24"/>
          <w:szCs w:val="24"/>
        </w:rPr>
        <w:t xml:space="preserve"> real estate institutes and government agencies</w:t>
      </w:r>
      <w:r w:rsidRPr="00442098">
        <w:rPr>
          <w:rFonts w:ascii="Times New Roman" w:hAnsi="Times New Roman" w:cs="Times New Roman"/>
          <w:color w:val="000000"/>
          <w:sz w:val="24"/>
          <w:szCs w:val="24"/>
        </w:rPr>
        <w:t>. The National Association of Realtors, for example, publishes a Housing Affordability Index for existing single-family homes by metropolitan area. The NAR affordability index</w:t>
      </w:r>
      <w:r>
        <w:rPr>
          <w:rFonts w:ascii="Times New Roman" w:hAnsi="Times New Roman" w:cs="Times New Roman"/>
          <w:color w:val="000000"/>
          <w:sz w:val="24"/>
          <w:szCs w:val="24"/>
        </w:rPr>
        <w:t xml:space="preserve">, for example, </w:t>
      </w:r>
      <w:r w:rsidRPr="00442098">
        <w:rPr>
          <w:rFonts w:ascii="Times New Roman" w:hAnsi="Times New Roman" w:cs="Times New Roman"/>
          <w:color w:val="000000"/>
          <w:sz w:val="24"/>
          <w:szCs w:val="24"/>
        </w:rPr>
        <w:t>measures whether or not a typical family could qualify for a mortgage loan on a typical home.</w:t>
      </w:r>
      <w:r w:rsidRPr="00442098">
        <w:rPr>
          <w:rFonts w:ascii="Times New Roman" w:hAnsi="Times New Roman" w:cs="Times New Roman" w:hint="eastAsia"/>
          <w:color w:val="000000"/>
          <w:sz w:val="24"/>
          <w:szCs w:val="24"/>
        </w:rPr>
        <w:t xml:space="preserve"> An index above 100 signifies that </w:t>
      </w:r>
      <w:r w:rsidRPr="00442098">
        <w:rPr>
          <w:rFonts w:ascii="Times New Roman" w:hAnsi="Times New Roman" w:cs="Times New Roman"/>
          <w:color w:val="000000"/>
          <w:sz w:val="24"/>
          <w:szCs w:val="24"/>
        </w:rPr>
        <w:t xml:space="preserve">a </w:t>
      </w:r>
      <w:r w:rsidRPr="00442098">
        <w:rPr>
          <w:rFonts w:ascii="Times New Roman" w:hAnsi="Times New Roman" w:cs="Times New Roman" w:hint="eastAsia"/>
          <w:color w:val="000000"/>
          <w:sz w:val="24"/>
          <w:szCs w:val="24"/>
        </w:rPr>
        <w:t>family earning the median income has more than enough income to qualify for a mortgage loan on a median-priced home, assuming a 20 percent down payment</w:t>
      </w:r>
      <w:r w:rsidRPr="00442098">
        <w:rPr>
          <w:rFonts w:ascii="Times New Roman" w:hAnsi="Times New Roman" w:cs="Times New Roman"/>
          <w:color w:val="000000"/>
          <w:sz w:val="24"/>
          <w:szCs w:val="24"/>
        </w:rPr>
        <w:t xml:space="preserve">, while an index value less than 100 means that such a family cannot afford a median-priced home.   </w:t>
      </w:r>
    </w:p>
    <w:p w:rsidR="00442098" w:rsidRPr="00442098" w:rsidRDefault="00FD75DF" w:rsidP="00C65520">
      <w:pPr>
        <w:autoSpaceDE w:val="0"/>
        <w:autoSpaceDN w:val="0"/>
        <w:adjustRightInd w:val="0"/>
        <w:spacing w:after="0" w:line="480" w:lineRule="auto"/>
        <w:ind w:firstLine="810"/>
        <w:rPr>
          <w:rFonts w:ascii="Times New Roman" w:hAnsi="Times New Roman" w:cs="Times New Roman"/>
          <w:color w:val="000000"/>
          <w:sz w:val="24"/>
          <w:szCs w:val="24"/>
        </w:rPr>
      </w:pPr>
      <w:r>
        <w:rPr>
          <w:rFonts w:ascii="Times New Roman" w:hAnsi="Times New Roman" w:cs="Times New Roman"/>
          <w:color w:val="000000"/>
          <w:sz w:val="24"/>
          <w:szCs w:val="24"/>
        </w:rPr>
        <w:t>These</w:t>
      </w:r>
      <w:r w:rsidR="00442098" w:rsidRPr="00442098">
        <w:rPr>
          <w:rFonts w:ascii="Times New Roman" w:hAnsi="Times New Roman" w:cs="Times New Roman"/>
          <w:color w:val="000000"/>
          <w:sz w:val="24"/>
          <w:szCs w:val="24"/>
        </w:rPr>
        <w:t xml:space="preserve"> indices and standards are structurally flawed in that they only consider costs directly related to housing, ignoring those </w:t>
      </w:r>
      <w:r w:rsidR="00442098" w:rsidRPr="00F80B95">
        <w:rPr>
          <w:rFonts w:ascii="Times New Roman" w:hAnsi="Times New Roman" w:cs="Times New Roman"/>
          <w:color w:val="000000"/>
          <w:sz w:val="24"/>
          <w:szCs w:val="24"/>
          <w:highlight w:val="yellow"/>
        </w:rPr>
        <w:t>related to transportation</w:t>
      </w:r>
      <w:r w:rsidR="00442098" w:rsidRPr="00442098">
        <w:rPr>
          <w:rFonts w:ascii="Times New Roman" w:hAnsi="Times New Roman" w:cs="Times New Roman"/>
          <w:color w:val="000000"/>
          <w:sz w:val="24"/>
          <w:szCs w:val="24"/>
        </w:rPr>
        <w:t xml:space="preserve">. We know from the Consumer Expenditure Survey that the typical American household spends about 26.3 percent of income on </w:t>
      </w:r>
      <w:r w:rsidR="00442098" w:rsidRPr="00442098">
        <w:rPr>
          <w:rFonts w:ascii="Times New Roman" w:hAnsi="Times New Roman" w:cs="Times New Roman"/>
          <w:color w:val="000000"/>
          <w:sz w:val="24"/>
          <w:szCs w:val="24"/>
        </w:rPr>
        <w:lastRenderedPageBreak/>
        <w:t>housing, excluding utilities and public services costs. For the typical household, therefore, housing is affordable. But the typical household also spends 16.7 percent for transportation. Housing plus transportation costs consume 43 percent of household income in 2011. If a household's transportation costs were zero but its housing costs were 35 percent of income, we would say that its housing was unaffordable, when in fact the household would be no worse off than the typical American household.</w:t>
      </w:r>
      <w:r w:rsidR="00442098" w:rsidRPr="00442098">
        <w:t xml:space="preserve"> </w:t>
      </w:r>
      <w:r w:rsidR="00442098" w:rsidRPr="00442098">
        <w:rPr>
          <w:rFonts w:ascii="Times New Roman" w:hAnsi="Times New Roman" w:cs="Times New Roman"/>
          <w:color w:val="000000"/>
          <w:sz w:val="24"/>
          <w:szCs w:val="24"/>
        </w:rPr>
        <w:t>Likewise, if a household’s transportation costs were 20 percent of income and is housing costs were 30 percent of income, we would say that housing was affordable when it, in fact, might not be.</w:t>
      </w:r>
    </w:p>
    <w:p w:rsidR="00442098" w:rsidRPr="00442098" w:rsidRDefault="00442098" w:rsidP="00C65520">
      <w:pPr>
        <w:autoSpaceDE w:val="0"/>
        <w:autoSpaceDN w:val="0"/>
        <w:adjustRightInd w:val="0"/>
        <w:spacing w:after="0" w:line="480" w:lineRule="auto"/>
        <w:ind w:firstLine="810"/>
        <w:rPr>
          <w:rFonts w:ascii="Times New Roman" w:hAnsi="Times New Roman" w:cs="Times New Roman"/>
          <w:color w:val="000000"/>
          <w:sz w:val="24"/>
          <w:szCs w:val="24"/>
        </w:rPr>
      </w:pPr>
      <w:r w:rsidRPr="00442098">
        <w:rPr>
          <w:rFonts w:ascii="Times New Roman" w:hAnsi="Times New Roman" w:cs="Times New Roman"/>
          <w:color w:val="000000"/>
          <w:sz w:val="24"/>
          <w:szCs w:val="24"/>
        </w:rPr>
        <w:t>Addressing this issue, the Center for Neighborhood Technology (CNT) and the Center for Transit Oriented Development (CTOD) in 2006 developed an innovative tool that measured true housing affordability called the “Housing + Transportation Affordability Index.” The H+T Affordability Index took into account not only the cost of housing, but also the intrinsic value of location, as quantified through transportation costs (Center for Transit-Oriented Development and Center for Neighborhood Technology, 2006).</w:t>
      </w:r>
    </w:p>
    <w:p w:rsidR="00442098" w:rsidRDefault="00442098" w:rsidP="00C65520">
      <w:pPr>
        <w:autoSpaceDE w:val="0"/>
        <w:autoSpaceDN w:val="0"/>
        <w:adjustRightInd w:val="0"/>
        <w:spacing w:after="0" w:line="480" w:lineRule="auto"/>
        <w:ind w:firstLine="810"/>
        <w:rPr>
          <w:rFonts w:ascii="Times New Roman" w:hAnsi="Times New Roman" w:cs="Times New Roman"/>
          <w:color w:val="000000"/>
          <w:sz w:val="24"/>
          <w:szCs w:val="24"/>
        </w:rPr>
      </w:pPr>
      <w:r w:rsidRPr="00442098">
        <w:rPr>
          <w:rFonts w:ascii="Times New Roman" w:hAnsi="Times New Roman" w:cs="Times New Roman"/>
          <w:color w:val="000000"/>
          <w:sz w:val="24"/>
          <w:szCs w:val="24"/>
        </w:rPr>
        <w:t>The H+T affordability index built on the analysis and theory of the location efficient mortgage (LEM), a lending product that was developed by a group of researchers for Fannie Mae in 2000. The LEM was rolled out in three regions. The LEM was very similar to the H+T affordability index in that it combined the costs of housing and transportation, and presumed that homebuyers could afford a bigger mortgage if they choose a neighborhood near public transit where they could realize significant savings on transportation (Holtzclaw et al, 2001).</w:t>
      </w:r>
      <w:r w:rsidR="00832554">
        <w:rPr>
          <w:rFonts w:ascii="Times New Roman" w:hAnsi="Times New Roman" w:cs="Times New Roman"/>
          <w:color w:val="000000"/>
          <w:sz w:val="24"/>
          <w:szCs w:val="24"/>
        </w:rPr>
        <w:t xml:space="preserve">  However, the LEM (an</w:t>
      </w:r>
      <w:r w:rsidR="001C2E90">
        <w:rPr>
          <w:rFonts w:ascii="Times New Roman" w:hAnsi="Times New Roman" w:cs="Times New Roman"/>
          <w:color w:val="000000"/>
          <w:sz w:val="24"/>
          <w:szCs w:val="24"/>
        </w:rPr>
        <w:t>d</w:t>
      </w:r>
      <w:r w:rsidR="00832554">
        <w:rPr>
          <w:rFonts w:ascii="Times New Roman" w:hAnsi="Times New Roman" w:cs="Times New Roman"/>
          <w:color w:val="000000"/>
          <w:sz w:val="24"/>
          <w:szCs w:val="24"/>
        </w:rPr>
        <w:t xml:space="preserve"> related Smart Commute Mortgage) program was abandoned in 2008</w:t>
      </w:r>
      <w:r w:rsidR="001C2E90">
        <w:rPr>
          <w:rFonts w:ascii="Times New Roman" w:hAnsi="Times New Roman" w:cs="Times New Roman"/>
          <w:color w:val="000000"/>
          <w:sz w:val="24"/>
          <w:szCs w:val="24"/>
        </w:rPr>
        <w:t xml:space="preserve"> due to a lack of uptake. Chatman and Voorhoeve (2010) attribute the failure of these programs due to a lack of advertising amongst lenders, logistical difficulties and concerns about risk. Moreover, </w:t>
      </w:r>
      <w:r w:rsidR="00441EFD">
        <w:rPr>
          <w:rFonts w:ascii="Times New Roman" w:hAnsi="Times New Roman" w:cs="Times New Roman"/>
          <w:color w:val="000000"/>
          <w:sz w:val="24"/>
          <w:szCs w:val="24"/>
        </w:rPr>
        <w:t xml:space="preserve">they noted </w:t>
      </w:r>
      <w:r w:rsidR="00441EFD">
        <w:rPr>
          <w:rFonts w:ascii="Times New Roman" w:hAnsi="Times New Roman" w:cs="Times New Roman"/>
          <w:color w:val="000000"/>
          <w:sz w:val="24"/>
          <w:szCs w:val="24"/>
        </w:rPr>
        <w:lastRenderedPageBreak/>
        <w:t xml:space="preserve">that </w:t>
      </w:r>
      <w:r w:rsidR="001C2E90">
        <w:rPr>
          <w:rFonts w:ascii="Times New Roman" w:hAnsi="Times New Roman" w:cs="Times New Roman"/>
          <w:color w:val="000000"/>
          <w:sz w:val="24"/>
          <w:szCs w:val="24"/>
        </w:rPr>
        <w:t>buy</w:t>
      </w:r>
      <w:r w:rsidR="00441EFD">
        <w:rPr>
          <w:rFonts w:ascii="Times New Roman" w:hAnsi="Times New Roman" w:cs="Times New Roman"/>
          <w:color w:val="000000"/>
          <w:sz w:val="24"/>
          <w:szCs w:val="24"/>
        </w:rPr>
        <w:t>ers did not benefit much</w:t>
      </w:r>
      <w:r w:rsidR="001C2E90">
        <w:rPr>
          <w:rFonts w:ascii="Times New Roman" w:hAnsi="Times New Roman" w:cs="Times New Roman"/>
          <w:color w:val="000000"/>
          <w:sz w:val="24"/>
          <w:szCs w:val="24"/>
        </w:rPr>
        <w:t xml:space="preserve"> in comparison to other loan products available at the time.  Finally, transit agencies</w:t>
      </w:r>
      <w:r w:rsidR="00441EFD">
        <w:rPr>
          <w:rFonts w:ascii="Times New Roman" w:hAnsi="Times New Roman" w:cs="Times New Roman"/>
          <w:color w:val="000000"/>
          <w:sz w:val="24"/>
          <w:szCs w:val="24"/>
        </w:rPr>
        <w:t xml:space="preserve"> did not push strongly for such mortgage programs.</w:t>
      </w:r>
    </w:p>
    <w:p w:rsidR="001868AE" w:rsidRPr="00C65520" w:rsidRDefault="00FD75DF" w:rsidP="00C65520">
      <w:pPr>
        <w:autoSpaceDE w:val="0"/>
        <w:autoSpaceDN w:val="0"/>
        <w:adjustRightInd w:val="0"/>
        <w:spacing w:after="0" w:line="480" w:lineRule="auto"/>
        <w:ind w:firstLine="810"/>
        <w:rPr>
          <w:rFonts w:ascii="Times New Roman" w:hAnsi="Times New Roman" w:cs="Times New Roman"/>
          <w:color w:val="000000"/>
          <w:sz w:val="24"/>
          <w:szCs w:val="24"/>
        </w:rPr>
      </w:pPr>
      <w:r w:rsidRPr="00442098">
        <w:rPr>
          <w:rFonts w:ascii="Times New Roman" w:hAnsi="Times New Roman" w:cs="Times New Roman"/>
          <w:color w:val="000000"/>
          <w:sz w:val="24"/>
          <w:szCs w:val="24"/>
        </w:rPr>
        <w:t xml:space="preserve">Later in 2010-13, the Departments of Transportation and Housing and Development funded the development of refined H+T-like index, called the Location Affordability Index. The LAI is based on </w:t>
      </w:r>
      <w:r w:rsidR="00441EFD">
        <w:rPr>
          <w:rFonts w:ascii="Times New Roman" w:hAnsi="Times New Roman" w:cs="Times New Roman"/>
          <w:color w:val="000000"/>
          <w:sz w:val="24"/>
          <w:szCs w:val="24"/>
        </w:rPr>
        <w:t>an updated</w:t>
      </w:r>
      <w:r w:rsidRPr="00442098">
        <w:rPr>
          <w:rFonts w:ascii="Times New Roman" w:hAnsi="Times New Roman" w:cs="Times New Roman"/>
          <w:color w:val="000000"/>
          <w:sz w:val="24"/>
          <w:szCs w:val="24"/>
        </w:rPr>
        <w:t xml:space="preserve"> methodology </w:t>
      </w:r>
      <w:r w:rsidR="00441EFD">
        <w:rPr>
          <w:rFonts w:ascii="Times New Roman" w:hAnsi="Times New Roman" w:cs="Times New Roman"/>
          <w:color w:val="000000"/>
          <w:sz w:val="24"/>
          <w:szCs w:val="24"/>
        </w:rPr>
        <w:t xml:space="preserve">and </w:t>
      </w:r>
      <w:r w:rsidRPr="00442098">
        <w:rPr>
          <w:rFonts w:ascii="Times New Roman" w:hAnsi="Times New Roman" w:cs="Times New Roman"/>
          <w:color w:val="000000"/>
          <w:sz w:val="24"/>
          <w:szCs w:val="24"/>
        </w:rPr>
        <w:t xml:space="preserve">uses the most recent and better quality data with more coverage. </w:t>
      </w:r>
      <w:r w:rsidRPr="00442098">
        <w:rPr>
          <w:rFonts w:ascii="Times New Roman" w:hAnsi="Times New Roman" w:cs="Times New Roman"/>
          <w:color w:val="000000"/>
          <w:sz w:val="24"/>
          <w:szCs w:val="24"/>
          <w:vertAlign w:val="superscript"/>
        </w:rPr>
        <w:endnoteReference w:id="1"/>
      </w:r>
    </w:p>
    <w:p w:rsidR="00FD75DF" w:rsidRPr="001868AE" w:rsidRDefault="00FD75DF" w:rsidP="00C65520">
      <w:pPr>
        <w:pStyle w:val="Heading2"/>
        <w:spacing w:line="480" w:lineRule="auto"/>
        <w:rPr>
          <w:rFonts w:eastAsiaTheme="minorHAnsi"/>
        </w:rPr>
      </w:pPr>
      <w:r w:rsidRPr="001868AE">
        <w:rPr>
          <w:rFonts w:eastAsiaTheme="minorHAnsi"/>
        </w:rPr>
        <w:t>Shortcomings of CNT’s and LAI’s Transportation Cost Models</w:t>
      </w:r>
    </w:p>
    <w:p w:rsidR="00FD75DF" w:rsidRDefault="00FD75DF" w:rsidP="00C65520">
      <w:pPr>
        <w:autoSpaceDE w:val="0"/>
        <w:autoSpaceDN w:val="0"/>
        <w:adjustRightInd w:val="0"/>
        <w:spacing w:after="0" w:line="480" w:lineRule="auto"/>
        <w:rPr>
          <w:rFonts w:ascii="Times New Roman" w:hAnsi="Times New Roman" w:cs="Times New Roman"/>
          <w:color w:val="000000"/>
          <w:sz w:val="24"/>
          <w:szCs w:val="24"/>
        </w:rPr>
      </w:pPr>
      <w:r w:rsidRPr="00FD75DF">
        <w:rPr>
          <w:rFonts w:ascii="Times New Roman" w:hAnsi="Times New Roman" w:cs="Times New Roman"/>
          <w:color w:val="000000"/>
          <w:sz w:val="24"/>
          <w:szCs w:val="24"/>
        </w:rPr>
        <w:t>The H+T Index has received praise for its assistance to planners and TOD advocates. However,</w:t>
      </w:r>
      <w:r>
        <w:rPr>
          <w:rFonts w:ascii="Times New Roman" w:hAnsi="Times New Roman" w:cs="Times New Roman"/>
          <w:color w:val="000000"/>
          <w:sz w:val="24"/>
          <w:szCs w:val="24"/>
        </w:rPr>
        <w:t xml:space="preserve"> it has also received criticism</w:t>
      </w:r>
      <w:r w:rsidRPr="00FD75DF">
        <w:rPr>
          <w:rFonts w:ascii="Times New Roman" w:hAnsi="Times New Roman" w:cs="Times New Roman"/>
          <w:color w:val="000000"/>
          <w:sz w:val="24"/>
          <w:szCs w:val="24"/>
        </w:rPr>
        <w:t xml:space="preserve"> (Abt Associates 2010; Econsult Corporation and Penn Institute for Urba</w:t>
      </w:r>
      <w:r>
        <w:rPr>
          <w:rFonts w:ascii="Times New Roman" w:hAnsi="Times New Roman" w:cs="Times New Roman"/>
          <w:color w:val="000000"/>
          <w:sz w:val="24"/>
          <w:szCs w:val="24"/>
        </w:rPr>
        <w:t xml:space="preserve">n Research 2012, and Tegeler, </w:t>
      </w:r>
      <w:r w:rsidRPr="00FD75DF">
        <w:rPr>
          <w:rFonts w:ascii="Times New Roman" w:hAnsi="Times New Roman" w:cs="Times New Roman"/>
          <w:color w:val="000000"/>
          <w:sz w:val="24"/>
          <w:szCs w:val="24"/>
        </w:rPr>
        <w:t>2011)</w:t>
      </w:r>
      <w:r>
        <w:rPr>
          <w:rFonts w:ascii="Times New Roman" w:hAnsi="Times New Roman" w:cs="Times New Roman"/>
          <w:color w:val="000000"/>
          <w:sz w:val="24"/>
          <w:szCs w:val="24"/>
        </w:rPr>
        <w:t xml:space="preserve">. </w:t>
      </w:r>
    </w:p>
    <w:p w:rsidR="00FD75DF" w:rsidRPr="00FD75DF" w:rsidRDefault="00FD75DF" w:rsidP="00C65520">
      <w:pPr>
        <w:spacing w:after="0" w:line="480" w:lineRule="auto"/>
        <w:ind w:firstLine="720"/>
        <w:rPr>
          <w:rFonts w:ascii="Times New Roman" w:eastAsia="Calibri" w:hAnsi="Times New Roman" w:cs="Times New Roman"/>
          <w:sz w:val="24"/>
        </w:rPr>
      </w:pPr>
      <w:r w:rsidRPr="00FD75DF">
        <w:rPr>
          <w:rFonts w:ascii="Times New Roman" w:eastAsia="Calibri" w:hAnsi="Times New Roman" w:cs="Times New Roman"/>
          <w:sz w:val="24"/>
        </w:rPr>
        <w:t>The first problem with these models is the limited characterization of the built environment.  The model of auto use (VMT) only accounts for variations in two built environmental variables—gross density and average block size—plus demographic and socioeconomic variables.  Go back to the earliest travel behavior studies and the built environment was operationally defined strictly in terms of density. However, for the past 15 years, the built environment has been defined more broadly in terms of five types of D variables.  The original three Ds, coined by Cervero and Kockleman (1997) were density, diversity, and design.  The Ds were later expanded to include destination accessibility and distance to transit (Ewing and Cervero, 2001).  Excluding key built environment variables—those related to diversity, destination accessibility, and distance to transit—limits the explanatory power of CNT’s auto use model and may introduce bias due to omitted variables. Destination accessibility has a particularly strong effect on household VMT (Ewing and Cervero 2010).</w:t>
      </w:r>
    </w:p>
    <w:p w:rsidR="00FD75DF" w:rsidRPr="00FD75DF" w:rsidRDefault="00FD75DF" w:rsidP="00C65520">
      <w:pPr>
        <w:spacing w:after="0" w:line="480" w:lineRule="auto"/>
        <w:ind w:firstLine="720"/>
        <w:rPr>
          <w:rFonts w:ascii="Times New Roman" w:eastAsia="Calibri" w:hAnsi="Times New Roman" w:cs="Times New Roman"/>
          <w:sz w:val="24"/>
        </w:rPr>
      </w:pPr>
      <w:r w:rsidRPr="00FD75DF">
        <w:rPr>
          <w:rFonts w:ascii="Times New Roman" w:eastAsia="Calibri" w:hAnsi="Times New Roman" w:cs="Times New Roman"/>
          <w:sz w:val="24"/>
        </w:rPr>
        <w:lastRenderedPageBreak/>
        <w:t>The second problem with the CNT models is the reliance on VMT data from only one state.  The VMT model was calibrated with odometer readings from Massachusetts alone. Massachusetts’ households are not the typical of U.S. households generally.  They drive about 15 percent fewer miles per year (CNT, 2010).  Drivers in Massachusetts also likely have better access to public transportation than those in many other places, which could affect the predicted relationships between auto use and the independent variables used in the model.  By relying on data for a single state, the CNT auto use model lacks an important quality researchers refer to as external validity, which translates roughly as generalizability.</w:t>
      </w:r>
    </w:p>
    <w:p w:rsidR="00FD75DF" w:rsidRPr="00FD75DF" w:rsidRDefault="00FD75DF" w:rsidP="00C65520">
      <w:pPr>
        <w:spacing w:after="0" w:line="480" w:lineRule="auto"/>
        <w:ind w:firstLine="720"/>
        <w:rPr>
          <w:rFonts w:ascii="Times New Roman" w:eastAsia="Calibri" w:hAnsi="Times New Roman" w:cs="Times New Roman"/>
          <w:sz w:val="24"/>
        </w:rPr>
      </w:pPr>
      <w:r w:rsidRPr="00FD75DF">
        <w:rPr>
          <w:rFonts w:ascii="Times New Roman" w:eastAsia="Calibri" w:hAnsi="Times New Roman" w:cs="Times New Roman"/>
          <w:sz w:val="24"/>
        </w:rPr>
        <w:t xml:space="preserve">The third problem with the CNT models is that auto ownership is modeled with aggregate data from the 2009 ACS.  CNT documentation states that average vehicles per occupied housing unit were calculated at the census block group scale.  </w:t>
      </w:r>
      <w:r>
        <w:rPr>
          <w:rFonts w:ascii="Times New Roman" w:eastAsia="Calibri" w:hAnsi="Times New Roman" w:cs="Times New Roman"/>
          <w:sz w:val="24"/>
        </w:rPr>
        <w:t>M</w:t>
      </w:r>
      <w:r w:rsidRPr="00FD75DF">
        <w:rPr>
          <w:rFonts w:ascii="Times New Roman" w:eastAsia="Calibri" w:hAnsi="Times New Roman" w:cs="Times New Roman"/>
          <w:sz w:val="24"/>
        </w:rPr>
        <w:t>odels based on aggreg</w:t>
      </w:r>
      <w:r>
        <w:rPr>
          <w:rFonts w:ascii="Times New Roman" w:eastAsia="Calibri" w:hAnsi="Times New Roman" w:cs="Times New Roman"/>
          <w:sz w:val="24"/>
        </w:rPr>
        <w:t>ate (block group</w:t>
      </w:r>
      <w:r w:rsidRPr="00FD75DF">
        <w:rPr>
          <w:rFonts w:ascii="Times New Roman" w:eastAsia="Calibri" w:hAnsi="Times New Roman" w:cs="Times New Roman"/>
          <w:sz w:val="24"/>
        </w:rPr>
        <w:t>) data rather than disaggregate (household) data may suffer from aggregate bias.  The data fail to account for variations in vehicle ownership and socio</w:t>
      </w:r>
      <w:r w:rsidR="000E075F">
        <w:rPr>
          <w:rFonts w:ascii="Times New Roman" w:eastAsia="Calibri" w:hAnsi="Times New Roman" w:cs="Times New Roman"/>
          <w:sz w:val="24"/>
        </w:rPr>
        <w:t>-</w:t>
      </w:r>
      <w:r w:rsidRPr="00FD75DF">
        <w:rPr>
          <w:rFonts w:ascii="Times New Roman" w:eastAsia="Calibri" w:hAnsi="Times New Roman" w:cs="Times New Roman"/>
          <w:sz w:val="24"/>
        </w:rPr>
        <w:t xml:space="preserve">demographic variables from household to household in the </w:t>
      </w:r>
      <w:r>
        <w:rPr>
          <w:rFonts w:ascii="Times New Roman" w:eastAsia="Calibri" w:hAnsi="Times New Roman" w:cs="Times New Roman"/>
          <w:sz w:val="24"/>
        </w:rPr>
        <w:t>same block group.</w:t>
      </w:r>
      <w:r w:rsidRPr="00FD75DF">
        <w:rPr>
          <w:rFonts w:ascii="Times New Roman" w:eastAsia="Calibri" w:hAnsi="Times New Roman" w:cs="Times New Roman"/>
          <w:sz w:val="24"/>
        </w:rPr>
        <w:t xml:space="preserve"> They also fail to account for variations in the built environment within the same census geography.  </w:t>
      </w:r>
    </w:p>
    <w:p w:rsidR="00FD75DF" w:rsidRPr="00FD75DF" w:rsidRDefault="00FD75DF" w:rsidP="00C65520">
      <w:pPr>
        <w:spacing w:after="0" w:line="480" w:lineRule="auto"/>
        <w:ind w:firstLine="720"/>
        <w:rPr>
          <w:rFonts w:ascii="Times New Roman" w:eastAsia="Calibri" w:hAnsi="Times New Roman" w:cs="Times New Roman"/>
          <w:sz w:val="24"/>
        </w:rPr>
      </w:pPr>
      <w:r w:rsidRPr="00FD75DF">
        <w:rPr>
          <w:rFonts w:ascii="Times New Roman" w:eastAsia="Calibri" w:hAnsi="Times New Roman" w:cs="Times New Roman"/>
          <w:sz w:val="24"/>
        </w:rPr>
        <w:t xml:space="preserve">The fourth problem with the CNT models is the treatment of transit costs.  CNT documentation states: “Because no direct measure of transit use was available at the block group level, a proxy was utilized for the measured data representing the dependent variable of transit use. From the ACS, Means of Transportation to Work was used to calculate a percent of commuters utilizing public transit.”  Beyond the problem of aggregation bias (whether for census block groups or much larger census tracts), the obvious limitation of this approach is that non-commuting trips by transit are ignored.  </w:t>
      </w:r>
    </w:p>
    <w:p w:rsidR="00FD75DF" w:rsidRPr="00FD75DF" w:rsidRDefault="00FD75DF" w:rsidP="00C65520">
      <w:pPr>
        <w:spacing w:after="0" w:line="480" w:lineRule="auto"/>
        <w:ind w:firstLine="720"/>
        <w:rPr>
          <w:rFonts w:ascii="Times New Roman" w:eastAsia="Calibri" w:hAnsi="Times New Roman" w:cs="Times New Roman"/>
          <w:sz w:val="24"/>
        </w:rPr>
      </w:pPr>
      <w:r w:rsidRPr="00FD75DF">
        <w:rPr>
          <w:rFonts w:ascii="Times New Roman" w:eastAsia="Calibri" w:hAnsi="Times New Roman" w:cs="Times New Roman"/>
          <w:sz w:val="24"/>
        </w:rPr>
        <w:lastRenderedPageBreak/>
        <w:t>The fifth problem with the CNT models is the use of national-level unit cost data. Auto operating costs are calculated using national-level fleet data and national average fuel costs, which may not be representative of individual metropolitan regions. There are substantial and persistent variations in fuel costs from region to region. In 2010, fuel cost ranged from $2.51 per gallon in Springfield, MO to $ 3.37 per gallon in Honolulu, HI.  A review of statewide average fuel costs in the Texas Transportation Institute’s Urban Mobility Database suggests that variations from place to place have been persistent and relatively stable.</w:t>
      </w:r>
    </w:p>
    <w:p w:rsidR="00B258E9" w:rsidRPr="00B258E9" w:rsidRDefault="00B258E9" w:rsidP="00C65520">
      <w:pPr>
        <w:autoSpaceDE w:val="0"/>
        <w:autoSpaceDN w:val="0"/>
        <w:adjustRightInd w:val="0"/>
        <w:spacing w:after="0" w:line="480" w:lineRule="auto"/>
        <w:ind w:firstLine="720"/>
        <w:rPr>
          <w:rFonts w:ascii="Times New Roman" w:hAnsi="Times New Roman" w:cs="Times New Roman"/>
          <w:color w:val="000000"/>
          <w:sz w:val="24"/>
          <w:szCs w:val="24"/>
        </w:rPr>
      </w:pPr>
      <w:r w:rsidRPr="00B258E9">
        <w:rPr>
          <w:rFonts w:ascii="Times New Roman" w:hAnsi="Times New Roman" w:cs="Times New Roman"/>
          <w:color w:val="000000"/>
          <w:sz w:val="24"/>
          <w:szCs w:val="24"/>
        </w:rPr>
        <w:t xml:space="preserve">While LAI represents a vast improvement over the old H+T methodology of CNT, it still has important limitations in two of its three component models. The VMT model is now based on Illinois odometer reading for Chicago and St. Louis rather than odometer readings for Massachusetts. Massachusetts had lower VMT per capita than the U.S. as a whole, which may not be the case for Chicago and St. Louis. However, the two metropolitan areas are hardly representative of the entire U.S. As important, auto ownership is modeled with aggregate data from the ACS.  Models based on aggregate (block group or census tract) data rather than disaggregate (household) data may suffer from aggregation bias. For the past 20 years, vehicle ownership has been modeled in the peer-reviewed literature with disaggregate data.  Using aggregate data to model vehicle ownership represents a giant methodological step backwards. </w:t>
      </w:r>
    </w:p>
    <w:p w:rsidR="00E74916" w:rsidRPr="00B96673" w:rsidRDefault="00B258E9" w:rsidP="00C65520">
      <w:pPr>
        <w:spacing w:after="0" w:line="480" w:lineRule="auto"/>
        <w:ind w:firstLine="720"/>
        <w:rPr>
          <w:rFonts w:ascii="Times New Roman" w:eastAsia="Calibri" w:hAnsi="Times New Roman" w:cs="Times New Roman"/>
          <w:sz w:val="24"/>
        </w:rPr>
      </w:pPr>
      <w:r w:rsidRPr="00B258E9">
        <w:rPr>
          <w:rFonts w:ascii="Times New Roman" w:eastAsia="Calibri" w:hAnsi="Times New Roman" w:cs="Times New Roman"/>
          <w:sz w:val="24"/>
        </w:rPr>
        <w:t xml:space="preserve">This study </w:t>
      </w:r>
      <w:r>
        <w:rPr>
          <w:rFonts w:ascii="Times New Roman" w:eastAsia="Calibri" w:hAnsi="Times New Roman" w:cs="Times New Roman"/>
          <w:sz w:val="24"/>
        </w:rPr>
        <w:t>is built</w:t>
      </w:r>
      <w:r w:rsidRPr="00B258E9">
        <w:rPr>
          <w:rFonts w:ascii="Times New Roman" w:eastAsia="Calibri" w:hAnsi="Times New Roman" w:cs="Times New Roman"/>
          <w:sz w:val="24"/>
        </w:rPr>
        <w:t xml:space="preserve"> on the work of t</w:t>
      </w:r>
      <w:r>
        <w:rPr>
          <w:rFonts w:ascii="Times New Roman" w:eastAsia="Calibri" w:hAnsi="Times New Roman" w:cs="Times New Roman"/>
          <w:sz w:val="24"/>
        </w:rPr>
        <w:t xml:space="preserve">he CNT and the more recent LAI Indices. </w:t>
      </w:r>
      <w:r w:rsidRPr="00B258E9">
        <w:rPr>
          <w:rFonts w:ascii="Times New Roman" w:eastAsia="Calibri" w:hAnsi="Times New Roman" w:cs="Times New Roman"/>
          <w:sz w:val="24"/>
        </w:rPr>
        <w:t>But</w:t>
      </w:r>
      <w:r>
        <w:rPr>
          <w:rFonts w:ascii="Times New Roman" w:eastAsia="Calibri" w:hAnsi="Times New Roman" w:cs="Times New Roman"/>
          <w:sz w:val="24"/>
        </w:rPr>
        <w:t xml:space="preserve">, addressing their shortcoming, we </w:t>
      </w:r>
      <w:r w:rsidRPr="00B258E9">
        <w:rPr>
          <w:rFonts w:ascii="Times New Roman" w:eastAsia="Calibri" w:hAnsi="Times New Roman" w:cs="Times New Roman"/>
          <w:sz w:val="24"/>
        </w:rPr>
        <w:t>estimate models that have greater val</w:t>
      </w:r>
      <w:r>
        <w:rPr>
          <w:rFonts w:ascii="Times New Roman" w:eastAsia="Calibri" w:hAnsi="Times New Roman" w:cs="Times New Roman"/>
          <w:sz w:val="24"/>
        </w:rPr>
        <w:t>idity and reliability</w:t>
      </w:r>
      <w:r w:rsidRPr="00B258E9">
        <w:rPr>
          <w:rFonts w:ascii="Times New Roman" w:eastAsia="Calibri" w:hAnsi="Times New Roman" w:cs="Times New Roman"/>
          <w:sz w:val="24"/>
        </w:rPr>
        <w:t xml:space="preserve"> because they are based on </w:t>
      </w:r>
      <w:r w:rsidR="00534B2E">
        <w:rPr>
          <w:rFonts w:ascii="Times New Roman" w:eastAsia="Calibri" w:hAnsi="Times New Roman" w:cs="Times New Roman"/>
          <w:sz w:val="24"/>
        </w:rPr>
        <w:t>more robust</w:t>
      </w:r>
      <w:r w:rsidR="00534B2E" w:rsidRPr="00B258E9">
        <w:rPr>
          <w:rFonts w:ascii="Times New Roman" w:eastAsia="Calibri" w:hAnsi="Times New Roman" w:cs="Times New Roman"/>
          <w:sz w:val="24"/>
        </w:rPr>
        <w:t xml:space="preserve"> </w:t>
      </w:r>
      <w:r w:rsidRPr="00B258E9">
        <w:rPr>
          <w:rFonts w:ascii="Times New Roman" w:eastAsia="Calibri" w:hAnsi="Times New Roman" w:cs="Times New Roman"/>
          <w:sz w:val="24"/>
        </w:rPr>
        <w:t>data and</w:t>
      </w:r>
      <w:r w:rsidR="00534B2E">
        <w:rPr>
          <w:rFonts w:ascii="Times New Roman" w:eastAsia="Calibri" w:hAnsi="Times New Roman" w:cs="Times New Roman"/>
          <w:sz w:val="24"/>
        </w:rPr>
        <w:t xml:space="preserve"> a more accurate </w:t>
      </w:r>
      <w:r w:rsidRPr="00B258E9">
        <w:rPr>
          <w:rFonts w:ascii="Times New Roman" w:eastAsia="Calibri" w:hAnsi="Times New Roman" w:cs="Times New Roman"/>
          <w:sz w:val="24"/>
        </w:rPr>
        <w:t>methodology</w:t>
      </w:r>
      <w:r>
        <w:rPr>
          <w:rFonts w:ascii="Times New Roman" w:eastAsia="Calibri" w:hAnsi="Times New Roman" w:cs="Times New Roman"/>
          <w:sz w:val="24"/>
        </w:rPr>
        <w:t xml:space="preserve">. </w:t>
      </w:r>
      <w:r w:rsidRPr="00E74916">
        <w:rPr>
          <w:rFonts w:ascii="Times New Roman" w:eastAsia="Calibri" w:hAnsi="Times New Roman" w:cs="Times New Roman"/>
          <w:sz w:val="24"/>
        </w:rPr>
        <w:t>Our models account</w:t>
      </w:r>
      <w:r>
        <w:rPr>
          <w:rFonts w:ascii="Times New Roman" w:eastAsia="Calibri" w:hAnsi="Times New Roman" w:cs="Times New Roman"/>
          <w:sz w:val="24"/>
        </w:rPr>
        <w:t>s</w:t>
      </w:r>
      <w:r w:rsidRPr="00E74916">
        <w:rPr>
          <w:rFonts w:ascii="Times New Roman" w:eastAsia="Calibri" w:hAnsi="Times New Roman" w:cs="Times New Roman"/>
          <w:sz w:val="24"/>
        </w:rPr>
        <w:t xml:space="preserve"> for all the so-called D variables found to affect travel and vehicle ownership in the peer-reviewed literature.  The Ds are development density, land use diversity, street design, destination accessibi</w:t>
      </w:r>
      <w:r>
        <w:rPr>
          <w:rFonts w:ascii="Times New Roman" w:eastAsia="Calibri" w:hAnsi="Times New Roman" w:cs="Times New Roman"/>
          <w:sz w:val="24"/>
        </w:rPr>
        <w:t xml:space="preserve">lity, and distance to transit. </w:t>
      </w:r>
      <w:r w:rsidRPr="00E74916">
        <w:rPr>
          <w:rFonts w:ascii="Times New Roman" w:eastAsia="Calibri" w:hAnsi="Times New Roman" w:cs="Times New Roman"/>
          <w:sz w:val="24"/>
        </w:rPr>
        <w:t xml:space="preserve">They have been shown to affect household travel </w:t>
      </w:r>
      <w:r w:rsidRPr="00E74916">
        <w:rPr>
          <w:rFonts w:ascii="Times New Roman" w:eastAsia="Calibri" w:hAnsi="Times New Roman" w:cs="Times New Roman"/>
          <w:sz w:val="24"/>
        </w:rPr>
        <w:lastRenderedPageBreak/>
        <w:t xml:space="preserve">decisions in more than 200 peer reviewed studies (see the meta-analysis by Ewing and Cervero 2010—also see literature reviews by Badoe </w:t>
      </w:r>
      <w:r w:rsidRPr="00E74916">
        <w:rPr>
          <w:rFonts w:ascii="Times New Roman" w:eastAsia="Calibri" w:hAnsi="Times New Roman" w:cs="Times New Roman"/>
          <w:sz w:val="24"/>
          <w:lang w:eastAsia="ko-KR"/>
        </w:rPr>
        <w:t>and</w:t>
      </w:r>
      <w:r w:rsidRPr="00E74916">
        <w:rPr>
          <w:rFonts w:ascii="Times New Roman" w:eastAsia="Calibri" w:hAnsi="Times New Roman" w:cs="Times New Roman"/>
          <w:sz w:val="24"/>
        </w:rPr>
        <w:t xml:space="preserve"> Miller 2000; Brownstone 2008; Cao, Mokhtarian, </w:t>
      </w:r>
      <w:r w:rsidRPr="00E74916">
        <w:rPr>
          <w:rFonts w:ascii="Times New Roman" w:eastAsia="Calibri" w:hAnsi="Times New Roman" w:cs="Times New Roman"/>
          <w:sz w:val="24"/>
          <w:lang w:eastAsia="ko-KR"/>
        </w:rPr>
        <w:t>and</w:t>
      </w:r>
      <w:r w:rsidRPr="00E74916">
        <w:rPr>
          <w:rFonts w:ascii="Times New Roman" w:eastAsia="Calibri" w:hAnsi="Times New Roman" w:cs="Times New Roman"/>
          <w:sz w:val="24"/>
        </w:rPr>
        <w:t xml:space="preserve"> Handy 2009a; Cervero 2003; Crane 2000; Ewing </w:t>
      </w:r>
      <w:r w:rsidRPr="00E74916">
        <w:rPr>
          <w:rFonts w:ascii="Times New Roman" w:eastAsia="Calibri" w:hAnsi="Times New Roman" w:cs="Times New Roman"/>
          <w:sz w:val="24"/>
          <w:lang w:eastAsia="ko-KR"/>
        </w:rPr>
        <w:t>and</w:t>
      </w:r>
      <w:r w:rsidRPr="00E74916">
        <w:rPr>
          <w:rFonts w:ascii="Times New Roman" w:eastAsia="Calibri" w:hAnsi="Times New Roman" w:cs="Times New Roman"/>
          <w:sz w:val="24"/>
        </w:rPr>
        <w:t xml:space="preserve"> Cervero 2001; Handy 2005; Heath, Brownson, Kruger, Miles, Powell, </w:t>
      </w:r>
      <w:r w:rsidRPr="00E74916">
        <w:rPr>
          <w:rFonts w:ascii="Times New Roman" w:eastAsia="Calibri" w:hAnsi="Times New Roman" w:cs="Times New Roman"/>
          <w:sz w:val="24"/>
          <w:lang w:eastAsia="ko-KR"/>
        </w:rPr>
        <w:t>and</w:t>
      </w:r>
      <w:r w:rsidRPr="00E74916">
        <w:rPr>
          <w:rFonts w:ascii="Times New Roman" w:eastAsia="Calibri" w:hAnsi="Times New Roman" w:cs="Times New Roman"/>
          <w:sz w:val="24"/>
        </w:rPr>
        <w:t xml:space="preserve"> Ramsey 2006; McMillan 2005; McMillan 2007; Pont, Ziviani, Wadley, Bennet, </w:t>
      </w:r>
      <w:r w:rsidRPr="00E74916">
        <w:rPr>
          <w:rFonts w:ascii="Times New Roman" w:eastAsia="Calibri" w:hAnsi="Times New Roman" w:cs="Times New Roman"/>
          <w:sz w:val="24"/>
          <w:lang w:eastAsia="ko-KR"/>
        </w:rPr>
        <w:t>and</w:t>
      </w:r>
      <w:r w:rsidRPr="00E74916">
        <w:rPr>
          <w:rFonts w:ascii="Times New Roman" w:eastAsia="Calibri" w:hAnsi="Times New Roman" w:cs="Times New Roman"/>
          <w:sz w:val="24"/>
        </w:rPr>
        <w:t xml:space="preserve"> Bennet 2009; Saelens, Sallis, </w:t>
      </w:r>
      <w:r w:rsidRPr="00E74916">
        <w:rPr>
          <w:rFonts w:ascii="Times New Roman" w:eastAsia="Calibri" w:hAnsi="Times New Roman" w:cs="Times New Roman"/>
          <w:sz w:val="24"/>
          <w:lang w:eastAsia="ko-KR"/>
        </w:rPr>
        <w:t>and</w:t>
      </w:r>
      <w:r w:rsidRPr="00E74916">
        <w:rPr>
          <w:rFonts w:ascii="Times New Roman" w:eastAsia="Calibri" w:hAnsi="Times New Roman" w:cs="Times New Roman"/>
          <w:sz w:val="24"/>
        </w:rPr>
        <w:t xml:space="preserve"> Frank 2003; Salon, </w:t>
      </w:r>
      <w:hyperlink r:id="rId8" w:history="1">
        <w:r w:rsidRPr="00E74916">
          <w:rPr>
            <w:rFonts w:ascii="Times New Roman" w:eastAsia="Calibri" w:hAnsi="Times New Roman" w:cs="Times New Roman"/>
            <w:sz w:val="24"/>
          </w:rPr>
          <w:t>Boarnet</w:t>
        </w:r>
      </w:hyperlink>
      <w:r w:rsidRPr="00E74916">
        <w:rPr>
          <w:rFonts w:ascii="Times New Roman" w:eastAsia="Calibri" w:hAnsi="Times New Roman" w:cs="Times New Roman"/>
          <w:sz w:val="24"/>
        </w:rPr>
        <w:t xml:space="preserve">, </w:t>
      </w:r>
      <w:hyperlink r:id="rId9" w:history="1">
        <w:r w:rsidRPr="00E74916">
          <w:rPr>
            <w:rFonts w:ascii="Times New Roman" w:eastAsia="Calibri" w:hAnsi="Times New Roman" w:cs="Times New Roman"/>
            <w:sz w:val="24"/>
          </w:rPr>
          <w:t>Handy</w:t>
        </w:r>
      </w:hyperlink>
      <w:r w:rsidRPr="00E74916">
        <w:rPr>
          <w:rFonts w:ascii="Times New Roman" w:eastAsia="Calibri" w:hAnsi="Times New Roman" w:cs="Times New Roman"/>
          <w:sz w:val="24"/>
        </w:rPr>
        <w:t xml:space="preserve">, </w:t>
      </w:r>
      <w:hyperlink r:id="rId10" w:history="1">
        <w:r w:rsidRPr="00E74916">
          <w:rPr>
            <w:rFonts w:ascii="Times New Roman" w:eastAsia="Calibri" w:hAnsi="Times New Roman" w:cs="Times New Roman"/>
            <w:sz w:val="24"/>
          </w:rPr>
          <w:t>Spears</w:t>
        </w:r>
      </w:hyperlink>
      <w:r w:rsidRPr="00E74916">
        <w:rPr>
          <w:rFonts w:ascii="Times New Roman" w:eastAsia="Calibri" w:hAnsi="Times New Roman" w:cs="Times New Roman"/>
          <w:sz w:val="24"/>
        </w:rPr>
        <w:t xml:space="preserve">, </w:t>
      </w:r>
      <w:r w:rsidRPr="00E74916">
        <w:rPr>
          <w:rFonts w:ascii="Times New Roman" w:eastAsia="Calibri" w:hAnsi="Times New Roman" w:cs="Times New Roman"/>
          <w:sz w:val="24"/>
          <w:lang w:eastAsia="ko-KR"/>
        </w:rPr>
        <w:t>and</w:t>
      </w:r>
      <w:r w:rsidRPr="00E74916">
        <w:rPr>
          <w:rFonts w:ascii="Times New Roman" w:eastAsia="Calibri" w:hAnsi="Times New Roman" w:cs="Times New Roman"/>
          <w:sz w:val="24"/>
        </w:rPr>
        <w:t xml:space="preserve"> </w:t>
      </w:r>
      <w:hyperlink r:id="rId11" w:history="1">
        <w:r w:rsidRPr="00E74916">
          <w:rPr>
            <w:rFonts w:ascii="Times New Roman" w:eastAsia="Calibri" w:hAnsi="Times New Roman" w:cs="Times New Roman"/>
            <w:sz w:val="24"/>
          </w:rPr>
          <w:t>Tal</w:t>
        </w:r>
      </w:hyperlink>
      <w:hyperlink r:id="rId12" w:anchor="aff1" w:tooltip="Affiliation: a" w:history="1">
        <w:r w:rsidRPr="00E74916">
          <w:rPr>
            <w:rFonts w:ascii="Times New Roman" w:eastAsia="Calibri" w:hAnsi="Times New Roman" w:cs="Times New Roman"/>
            <w:sz w:val="24"/>
          </w:rPr>
          <w:t>a</w:t>
        </w:r>
      </w:hyperlink>
      <w:r w:rsidRPr="00E74916">
        <w:rPr>
          <w:rFonts w:ascii="Times New Roman" w:eastAsia="Calibri" w:hAnsi="Times New Roman" w:cs="Times New Roman"/>
          <w:sz w:val="24"/>
        </w:rPr>
        <w:t xml:space="preserve"> 2012; Stead </w:t>
      </w:r>
      <w:r w:rsidRPr="00E74916">
        <w:rPr>
          <w:rFonts w:ascii="Times New Roman" w:eastAsia="Calibri" w:hAnsi="Times New Roman" w:cs="Times New Roman"/>
          <w:sz w:val="24"/>
          <w:lang w:eastAsia="ko-KR"/>
        </w:rPr>
        <w:t>and</w:t>
      </w:r>
      <w:r w:rsidRPr="00E74916">
        <w:rPr>
          <w:rFonts w:ascii="Times New Roman" w:eastAsia="Calibri" w:hAnsi="Times New Roman" w:cs="Times New Roman"/>
          <w:sz w:val="24"/>
        </w:rPr>
        <w:t xml:space="preserve"> Marshall 2001).</w:t>
      </w:r>
    </w:p>
    <w:p w:rsidR="007C047B" w:rsidRDefault="007C047B" w:rsidP="00C65520">
      <w:pPr>
        <w:pStyle w:val="Heading1"/>
        <w:spacing w:line="480" w:lineRule="auto"/>
      </w:pPr>
      <w:r>
        <w:t>Methods</w:t>
      </w:r>
    </w:p>
    <w:p w:rsidR="006E403C" w:rsidRPr="006E403C" w:rsidRDefault="000740CD" w:rsidP="00C65520">
      <w:p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In this study, we use the same methodology as CNT and </w:t>
      </w:r>
      <w:r w:rsidR="006E403C" w:rsidRPr="006E403C">
        <w:rPr>
          <w:rFonts w:ascii="Times New Roman" w:eastAsia="Calibri" w:hAnsi="Times New Roman" w:cs="Times New Roman"/>
          <w:sz w:val="24"/>
        </w:rPr>
        <w:t>estimate household transportation costs as the sum of three terms:</w:t>
      </w:r>
    </w:p>
    <w:p w:rsidR="006E403C" w:rsidRPr="006E403C" w:rsidRDefault="006E403C" w:rsidP="00C65520">
      <w:pPr>
        <w:spacing w:after="0" w:line="480" w:lineRule="auto"/>
        <w:rPr>
          <w:rFonts w:ascii="Times New Roman" w:eastAsia="Times New Roman" w:hAnsi="Times New Roman" w:cs="Times New Roman"/>
          <w:sz w:val="24"/>
        </w:rPr>
      </w:pPr>
      <w:r w:rsidRPr="006E403C">
        <w:rPr>
          <w:rFonts w:ascii="Times New Roman" w:eastAsia="Calibri" w:hAnsi="Times New Roman" w:cs="Times New Roman"/>
          <w:sz w:val="24"/>
        </w:rPr>
        <w:t xml:space="preserve">Household T Costs =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AO</m:t>
                </m:r>
              </m:sub>
            </m:sSub>
            <m:r>
              <w:rPr>
                <w:rFonts w:hAnsi="Cambria Math"/>
              </w:rPr>
              <m:t>*</m:t>
            </m:r>
            <m:sSub>
              <m:sSubPr>
                <m:ctrlPr>
                  <w:rPr>
                    <w:rFonts w:ascii="Cambria Math" w:hAnsi="Cambria Math"/>
                    <w:i/>
                  </w:rPr>
                </m:ctrlPr>
              </m:sSubPr>
              <m:e>
                <m:r>
                  <w:rPr>
                    <w:rFonts w:ascii="Cambria Math" w:hAnsi="Cambria Math"/>
                  </w:rPr>
                  <m:t>F</m:t>
                </m:r>
              </m:e>
              <m:sub>
                <m:r>
                  <w:rPr>
                    <w:rFonts w:ascii="Cambria Math" w:hAnsi="Cambria Math"/>
                  </w:rPr>
                  <m:t>AO</m:t>
                </m:r>
              </m:sub>
            </m:sSub>
            <m:d>
              <m:dPr>
                <m:ctrlPr>
                  <w:rPr>
                    <w:rFonts w:ascii="Cambria Math" w:hAnsi="Cambria Math"/>
                    <w:i/>
                  </w:rPr>
                </m:ctrlPr>
              </m:dPr>
              <m:e>
                <m:r>
                  <w:rPr>
                    <w:rFonts w:ascii="Cambria Math" w:hAnsi="Cambria Math"/>
                  </w:rPr>
                  <m:t>X</m:t>
                </m:r>
              </m:e>
            </m:d>
          </m:e>
        </m:d>
        <m:r>
          <w:rPr>
            <w:rFonts w:asci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AU</m:t>
                </m:r>
              </m:sub>
            </m:sSub>
            <m:r>
              <w:rPr>
                <w:rFonts w:hAnsi="Cambria Math"/>
              </w:rPr>
              <m:t>*</m:t>
            </m:r>
            <m:sSub>
              <m:sSubPr>
                <m:ctrlPr>
                  <w:rPr>
                    <w:rFonts w:ascii="Cambria Math" w:hAnsi="Cambria Math"/>
                    <w:i/>
                  </w:rPr>
                </m:ctrlPr>
              </m:sSubPr>
              <m:e>
                <m:r>
                  <w:rPr>
                    <w:rFonts w:ascii="Cambria Math" w:hAnsi="Cambria Math"/>
                  </w:rPr>
                  <m:t>F</m:t>
                </m:r>
              </m:e>
              <m:sub>
                <m:r>
                  <w:rPr>
                    <w:rFonts w:ascii="Cambria Math" w:hAnsi="Cambria Math"/>
                  </w:rPr>
                  <m:t>AU</m:t>
                </m:r>
              </m:sub>
            </m:sSub>
            <m:d>
              <m:dPr>
                <m:ctrlPr>
                  <w:rPr>
                    <w:rFonts w:ascii="Cambria Math" w:hAnsi="Cambria Math"/>
                    <w:i/>
                  </w:rPr>
                </m:ctrlPr>
              </m:dPr>
              <m:e>
                <m:r>
                  <w:rPr>
                    <w:rFonts w:ascii="Cambria Math" w:hAnsi="Cambria Math"/>
                  </w:rPr>
                  <m:t>X</m:t>
                </m:r>
              </m:e>
            </m:d>
          </m:e>
        </m:d>
        <m:r>
          <w:rPr>
            <w:rFonts w:asci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TU</m:t>
                </m:r>
              </m:sub>
            </m:sSub>
            <m:r>
              <w:rPr>
                <w:rFonts w:hAnsi="Cambria Math"/>
              </w:rPr>
              <m:t>*</m:t>
            </m:r>
            <m:sSub>
              <m:sSubPr>
                <m:ctrlPr>
                  <w:rPr>
                    <w:rFonts w:ascii="Cambria Math" w:hAnsi="Cambria Math"/>
                    <w:i/>
                  </w:rPr>
                </m:ctrlPr>
              </m:sSubPr>
              <m:e>
                <m:r>
                  <w:rPr>
                    <w:rFonts w:ascii="Cambria Math" w:hAnsi="Cambria Math"/>
                  </w:rPr>
                  <m:t>F</m:t>
                </m:r>
              </m:e>
              <m:sub>
                <m:r>
                  <w:rPr>
                    <w:rFonts w:ascii="Cambria Math" w:hAnsi="Cambria Math"/>
                  </w:rPr>
                  <m:t>TU</m:t>
                </m:r>
              </m:sub>
            </m:sSub>
            <m:d>
              <m:dPr>
                <m:ctrlPr>
                  <w:rPr>
                    <w:rFonts w:ascii="Cambria Math" w:hAnsi="Cambria Math"/>
                    <w:i/>
                  </w:rPr>
                </m:ctrlPr>
              </m:dPr>
              <m:e>
                <m:r>
                  <w:rPr>
                    <w:rFonts w:ascii="Cambria Math" w:hAnsi="Cambria Math"/>
                  </w:rPr>
                  <m:t>X</m:t>
                </m:r>
              </m:e>
            </m:d>
          </m:e>
        </m:d>
      </m:oMath>
    </w:p>
    <w:p w:rsidR="006E403C" w:rsidRPr="006E403C" w:rsidRDefault="006E403C" w:rsidP="00C65520">
      <w:pPr>
        <w:spacing w:after="0" w:line="480" w:lineRule="auto"/>
        <w:rPr>
          <w:rFonts w:ascii="Times New Roman" w:eastAsia="Times New Roman" w:hAnsi="Times New Roman" w:cs="Times New Roman"/>
          <w:sz w:val="24"/>
        </w:rPr>
      </w:pPr>
      <w:r w:rsidRPr="006E403C">
        <w:rPr>
          <w:rFonts w:ascii="Times New Roman" w:eastAsia="Times New Roman" w:hAnsi="Times New Roman" w:cs="Times New Roman"/>
          <w:sz w:val="24"/>
        </w:rPr>
        <w:t>where</w:t>
      </w:r>
    </w:p>
    <w:p w:rsidR="006E403C" w:rsidRPr="006E403C" w:rsidRDefault="006E403C" w:rsidP="00C65520">
      <w:pPr>
        <w:spacing w:after="0" w:line="480" w:lineRule="auto"/>
        <w:ind w:firstLine="720"/>
        <w:rPr>
          <w:rFonts w:ascii="Times New Roman" w:eastAsia="Times New Roman" w:hAnsi="Times New Roman" w:cs="Times New Roman"/>
          <w:sz w:val="24"/>
        </w:rPr>
      </w:pPr>
      <w:r w:rsidRPr="006E403C">
        <w:rPr>
          <w:rFonts w:ascii="Times New Roman" w:eastAsia="Times New Roman" w:hAnsi="Times New Roman" w:cs="Times New Roman"/>
          <w:sz w:val="24"/>
        </w:rPr>
        <w:t>C = cost factor (i.e. dollars per mile)</w:t>
      </w:r>
    </w:p>
    <w:p w:rsidR="006E403C" w:rsidRPr="006E403C" w:rsidRDefault="006E403C" w:rsidP="00C65520">
      <w:pPr>
        <w:spacing w:before="240" w:after="0" w:line="480" w:lineRule="auto"/>
        <w:ind w:firstLine="720"/>
        <w:rPr>
          <w:rFonts w:ascii="Times New Roman" w:eastAsia="Times New Roman" w:hAnsi="Times New Roman" w:cs="Times New Roman"/>
          <w:sz w:val="24"/>
        </w:rPr>
      </w:pPr>
      <w:r w:rsidRPr="006E403C">
        <w:rPr>
          <w:rFonts w:ascii="Times New Roman" w:eastAsia="Times New Roman" w:hAnsi="Times New Roman" w:cs="Times New Roman"/>
          <w:sz w:val="24"/>
        </w:rPr>
        <w:t>F = function of the independent variables (</w:t>
      </w:r>
      <m:oMath>
        <m:sSub>
          <m:sSubPr>
            <m:ctrlPr>
              <w:rPr>
                <w:rFonts w:ascii="Cambria Math" w:hAnsi="Cambria Math"/>
                <w:i/>
              </w:rPr>
            </m:ctrlPr>
          </m:sSubPr>
          <m:e>
            <m:r>
              <w:rPr>
                <w:rFonts w:ascii="Cambria Math" w:hAnsi="Cambria Math"/>
              </w:rPr>
              <m:t>F</m:t>
            </m:r>
          </m:e>
          <m:sub>
            <m:r>
              <w:rPr>
                <w:rFonts w:ascii="Cambria Math" w:hAnsi="Cambria Math"/>
              </w:rPr>
              <m:t>AO</m:t>
            </m:r>
          </m:sub>
        </m:sSub>
      </m:oMath>
      <w:r w:rsidRPr="006E403C">
        <w:rPr>
          <w:rFonts w:ascii="Times New Roman" w:eastAsia="Times New Roman" w:hAnsi="Times New Roman" w:cs="Times New Roman"/>
          <w:sz w:val="24"/>
        </w:rPr>
        <w:t xml:space="preserve"> is auto ownership, </w:t>
      </w:r>
      <m:oMath>
        <m:sSub>
          <m:sSubPr>
            <m:ctrlPr>
              <w:rPr>
                <w:rFonts w:ascii="Cambria Math" w:hAnsi="Cambria Math"/>
                <w:i/>
              </w:rPr>
            </m:ctrlPr>
          </m:sSubPr>
          <m:e>
            <m:r>
              <w:rPr>
                <w:rFonts w:ascii="Cambria Math" w:hAnsi="Cambria Math"/>
              </w:rPr>
              <m:t>F</m:t>
            </m:r>
          </m:e>
          <m:sub>
            <m:r>
              <w:rPr>
                <w:rFonts w:ascii="Cambria Math" w:hAnsi="Cambria Math"/>
              </w:rPr>
              <m:t>AU</m:t>
            </m:r>
          </m:sub>
        </m:sSub>
      </m:oMath>
      <w:r w:rsidRPr="006E403C">
        <w:rPr>
          <w:rFonts w:ascii="Times New Roman" w:eastAsia="Times New Roman" w:hAnsi="Times New Roman" w:cs="Times New Roman"/>
          <w:sz w:val="24"/>
        </w:rPr>
        <w:t xml:space="preserve">is auto use, and </w:t>
      </w:r>
      <m:oMath>
        <m:sSub>
          <m:sSubPr>
            <m:ctrlPr>
              <w:rPr>
                <w:rFonts w:ascii="Cambria Math" w:hAnsi="Cambria Math"/>
                <w:i/>
              </w:rPr>
            </m:ctrlPr>
          </m:sSubPr>
          <m:e>
            <m:r>
              <w:rPr>
                <w:rFonts w:ascii="Cambria Math" w:hAnsi="Cambria Math"/>
              </w:rPr>
              <m:t>F</m:t>
            </m:r>
          </m:e>
          <m:sub>
            <m:r>
              <w:rPr>
                <w:rFonts w:ascii="Cambria Math" w:hAnsi="Cambria Math"/>
              </w:rPr>
              <m:t>TU</m:t>
            </m:r>
          </m:sub>
        </m:sSub>
      </m:oMath>
      <w:r w:rsidRPr="006E403C">
        <w:rPr>
          <w:rFonts w:ascii="Times New Roman" w:eastAsia="Times New Roman" w:hAnsi="Times New Roman" w:cs="Times New Roman"/>
          <w:sz w:val="24"/>
        </w:rPr>
        <w:t xml:space="preserve"> is transit use)</w:t>
      </w:r>
    </w:p>
    <w:p w:rsidR="006E403C" w:rsidRDefault="006E403C" w:rsidP="00C65520">
      <w:pPr>
        <w:spacing w:after="0" w:line="480" w:lineRule="auto"/>
        <w:ind w:firstLine="720"/>
        <w:rPr>
          <w:rFonts w:ascii="Times New Roman" w:eastAsia="Calibri" w:hAnsi="Times New Roman" w:cs="Times New Roman"/>
          <w:sz w:val="24"/>
        </w:rPr>
      </w:pPr>
      <w:r w:rsidRPr="006E403C">
        <w:rPr>
          <w:rFonts w:ascii="Times New Roman" w:eastAsia="Calibri" w:hAnsi="Times New Roman" w:cs="Times New Roman"/>
          <w:sz w:val="24"/>
        </w:rPr>
        <w:t xml:space="preserve">However, our Cs and the Fs </w:t>
      </w:r>
      <w:r w:rsidR="00D530BC">
        <w:rPr>
          <w:rFonts w:ascii="Times New Roman" w:eastAsia="Calibri" w:hAnsi="Times New Roman" w:cs="Times New Roman"/>
          <w:sz w:val="24"/>
        </w:rPr>
        <w:t>are</w:t>
      </w:r>
      <w:r w:rsidRPr="006E403C">
        <w:rPr>
          <w:rFonts w:ascii="Times New Roman" w:eastAsia="Calibri" w:hAnsi="Times New Roman" w:cs="Times New Roman"/>
          <w:sz w:val="24"/>
        </w:rPr>
        <w:t xml:space="preserve"> different from CNT’s.  The availability of </w:t>
      </w:r>
      <w:r w:rsidR="008D6FC2">
        <w:rPr>
          <w:rFonts w:ascii="Times New Roman" w:eastAsia="Calibri" w:hAnsi="Times New Roman" w:cs="Times New Roman"/>
          <w:sz w:val="24"/>
        </w:rPr>
        <w:t>disaggregate data at the household level</w:t>
      </w:r>
      <w:r w:rsidRPr="006E403C">
        <w:rPr>
          <w:rFonts w:ascii="Times New Roman" w:eastAsia="Calibri" w:hAnsi="Times New Roman" w:cs="Times New Roman"/>
          <w:sz w:val="24"/>
        </w:rPr>
        <w:t xml:space="preserve"> lead</w:t>
      </w:r>
      <w:r w:rsidR="000740CD">
        <w:rPr>
          <w:rFonts w:ascii="Times New Roman" w:eastAsia="Calibri" w:hAnsi="Times New Roman" w:cs="Times New Roman"/>
          <w:sz w:val="24"/>
        </w:rPr>
        <w:t>s</w:t>
      </w:r>
      <w:r w:rsidRPr="006E403C">
        <w:rPr>
          <w:rFonts w:ascii="Times New Roman" w:eastAsia="Calibri" w:hAnsi="Times New Roman" w:cs="Times New Roman"/>
          <w:sz w:val="24"/>
        </w:rPr>
        <w:t xml:space="preserve"> to better estimates of transportation costs for low-income households at any location.  </w:t>
      </w:r>
    </w:p>
    <w:p w:rsidR="006E403C" w:rsidRDefault="006E403C" w:rsidP="00C65520">
      <w:pPr>
        <w:spacing w:line="480" w:lineRule="auto"/>
        <w:ind w:firstLine="720"/>
        <w:rPr>
          <w:rFonts w:ascii="Times New Roman" w:eastAsia="Calibri" w:hAnsi="Times New Roman" w:cs="Times New Roman"/>
          <w:sz w:val="24"/>
        </w:rPr>
      </w:pPr>
      <w:r w:rsidRPr="006E403C">
        <w:rPr>
          <w:rFonts w:ascii="Times New Roman" w:eastAsia="Calibri" w:hAnsi="Times New Roman" w:cs="Times New Roman"/>
          <w:sz w:val="24"/>
        </w:rPr>
        <w:t xml:space="preserve">With the new models in hand, we </w:t>
      </w:r>
      <w:r w:rsidR="000740CD">
        <w:rPr>
          <w:rFonts w:ascii="Times New Roman" w:eastAsia="Calibri" w:hAnsi="Times New Roman" w:cs="Times New Roman"/>
          <w:sz w:val="24"/>
        </w:rPr>
        <w:t xml:space="preserve">then </w:t>
      </w:r>
      <w:r w:rsidRPr="006E403C">
        <w:rPr>
          <w:rFonts w:ascii="Times New Roman" w:eastAsia="Calibri" w:hAnsi="Times New Roman" w:cs="Times New Roman"/>
          <w:sz w:val="24"/>
        </w:rPr>
        <w:t>geo-locate more than 34,000 rental housing assistance properties in HUD’s Multif</w:t>
      </w:r>
      <w:r w:rsidR="000740CD">
        <w:rPr>
          <w:rFonts w:ascii="Times New Roman" w:eastAsia="Calibri" w:hAnsi="Times New Roman" w:cs="Times New Roman"/>
          <w:sz w:val="24"/>
        </w:rPr>
        <w:t>amily Portfolio Dataset</w:t>
      </w:r>
      <w:r w:rsidR="007137CE">
        <w:rPr>
          <w:rFonts w:ascii="Times New Roman" w:eastAsia="Calibri" w:hAnsi="Times New Roman" w:cs="Times New Roman"/>
          <w:sz w:val="24"/>
        </w:rPr>
        <w:t>.</w:t>
      </w:r>
      <w:r w:rsidR="000740CD">
        <w:rPr>
          <w:rFonts w:ascii="Times New Roman" w:eastAsia="Calibri" w:hAnsi="Times New Roman" w:cs="Times New Roman"/>
          <w:sz w:val="24"/>
        </w:rPr>
        <w:t xml:space="preserve"> </w:t>
      </w:r>
      <w:r w:rsidR="00523C30" w:rsidRPr="007137CE">
        <w:rPr>
          <w:rFonts w:ascii="Times New Roman" w:eastAsia="Calibri" w:hAnsi="Times New Roman" w:cs="Times New Roman"/>
          <w:sz w:val="24"/>
          <w:highlight w:val="yellow"/>
        </w:rPr>
        <w:t>The subsequent analysis, however, focuses</w:t>
      </w:r>
      <w:r w:rsidR="008133CF" w:rsidRPr="007137CE">
        <w:rPr>
          <w:rFonts w:ascii="Times New Roman" w:eastAsia="Calibri" w:hAnsi="Times New Roman" w:cs="Times New Roman"/>
          <w:sz w:val="24"/>
          <w:highlight w:val="yellow"/>
        </w:rPr>
        <w:t xml:space="preserve"> on the </w:t>
      </w:r>
      <w:r w:rsidR="007137CE" w:rsidRPr="007137CE">
        <w:rPr>
          <w:rFonts w:ascii="Times New Roman" w:eastAsia="Calibri" w:hAnsi="Times New Roman" w:cs="Times New Roman"/>
          <w:sz w:val="24"/>
          <w:highlight w:val="yellow"/>
        </w:rPr>
        <w:t xml:space="preserve">8,857 </w:t>
      </w:r>
      <w:r w:rsidR="008133CF" w:rsidRPr="007137CE">
        <w:rPr>
          <w:rFonts w:ascii="Times New Roman" w:eastAsia="Calibri" w:hAnsi="Times New Roman" w:cs="Times New Roman"/>
          <w:sz w:val="24"/>
          <w:highlight w:val="yellow"/>
        </w:rPr>
        <w:t xml:space="preserve">HUD Section 8 New Construction and Substantial Rehabilitation Program, and other Section 8 privately owned rental housing programs, because for these </w:t>
      </w:r>
      <w:r w:rsidR="00523C30" w:rsidRPr="007137CE">
        <w:rPr>
          <w:rFonts w:ascii="Times New Roman" w:eastAsia="Calibri" w:hAnsi="Times New Roman" w:cs="Times New Roman"/>
          <w:sz w:val="24"/>
          <w:highlight w:val="yellow"/>
        </w:rPr>
        <w:t xml:space="preserve">programs </w:t>
      </w:r>
      <w:r w:rsidR="008133CF" w:rsidRPr="007137CE">
        <w:rPr>
          <w:rFonts w:ascii="Times New Roman" w:eastAsia="Calibri" w:hAnsi="Times New Roman" w:cs="Times New Roman"/>
          <w:sz w:val="24"/>
          <w:highlight w:val="yellow"/>
        </w:rPr>
        <w:t xml:space="preserve">housing </w:t>
      </w:r>
      <w:r w:rsidR="00523C30" w:rsidRPr="007137CE">
        <w:rPr>
          <w:rFonts w:ascii="Times New Roman" w:eastAsia="Calibri" w:hAnsi="Times New Roman" w:cs="Times New Roman"/>
          <w:sz w:val="24"/>
          <w:highlight w:val="yellow"/>
        </w:rPr>
        <w:t xml:space="preserve">cost </w:t>
      </w:r>
      <w:r w:rsidR="008133CF" w:rsidRPr="007137CE">
        <w:rPr>
          <w:rFonts w:ascii="Times New Roman" w:eastAsia="Calibri" w:hAnsi="Times New Roman" w:cs="Times New Roman"/>
          <w:sz w:val="24"/>
          <w:highlight w:val="yellow"/>
        </w:rPr>
        <w:t>is affordable by definition.</w:t>
      </w:r>
      <w:r w:rsidR="00523C30" w:rsidRPr="007137CE">
        <w:rPr>
          <w:rFonts w:ascii="Times New Roman" w:eastAsia="Calibri" w:hAnsi="Times New Roman" w:cs="Times New Roman"/>
          <w:sz w:val="24"/>
          <w:highlight w:val="yellow"/>
        </w:rPr>
        <w:t xml:space="preserve"> </w:t>
      </w:r>
      <w:r w:rsidR="007137CE" w:rsidRPr="007137CE">
        <w:rPr>
          <w:rFonts w:ascii="Times New Roman" w:eastAsia="Calibri" w:hAnsi="Times New Roman" w:cs="Times New Roman"/>
          <w:sz w:val="24"/>
          <w:highlight w:val="yellow"/>
        </w:rPr>
        <w:t xml:space="preserve">The properties in this final database provide a complete </w:t>
      </w:r>
      <w:r w:rsidR="007137CE" w:rsidRPr="007137CE">
        <w:rPr>
          <w:rFonts w:ascii="Times New Roman" w:eastAsia="Calibri" w:hAnsi="Times New Roman" w:cs="Times New Roman"/>
          <w:sz w:val="24"/>
          <w:highlight w:val="yellow"/>
        </w:rPr>
        <w:lastRenderedPageBreak/>
        <w:t>set of variables from which we can estimate transportation costs.</w:t>
      </w:r>
      <w:r w:rsidR="007137CE">
        <w:rPr>
          <w:rFonts w:ascii="Times New Roman" w:eastAsia="Calibri" w:hAnsi="Times New Roman" w:cs="Times New Roman"/>
          <w:sz w:val="24"/>
        </w:rPr>
        <w:t xml:space="preserve"> We</w:t>
      </w:r>
      <w:r w:rsidR="007137CE" w:rsidRPr="007137CE">
        <w:rPr>
          <w:rFonts w:ascii="Times New Roman" w:eastAsia="Calibri" w:hAnsi="Times New Roman" w:cs="Times New Roman"/>
          <w:sz w:val="24"/>
        </w:rPr>
        <w:t xml:space="preserve"> apply the new transportation cost models to typical low-income households living at these locations to determine whether their transportation costs are more or less than 15 percent of household income.  </w:t>
      </w:r>
    </w:p>
    <w:p w:rsidR="00763834" w:rsidRPr="00763834" w:rsidRDefault="00B96673" w:rsidP="00C65520">
      <w:pPr>
        <w:pStyle w:val="Heading2"/>
        <w:spacing w:line="480" w:lineRule="auto"/>
      </w:pPr>
      <w:r>
        <w:t>Sample</w:t>
      </w:r>
    </w:p>
    <w:p w:rsidR="00B96673" w:rsidRPr="00B96673" w:rsidRDefault="00B96673" w:rsidP="00C65520">
      <w:p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This analysis is </w:t>
      </w:r>
      <w:r w:rsidRPr="00B96673">
        <w:rPr>
          <w:rFonts w:ascii="Times New Roman" w:eastAsia="Calibri" w:hAnsi="Times New Roman" w:cs="Times New Roman"/>
          <w:sz w:val="24"/>
        </w:rPr>
        <w:t>spec</w:t>
      </w:r>
      <w:r>
        <w:rPr>
          <w:rFonts w:ascii="Times New Roman" w:eastAsia="Calibri" w:hAnsi="Times New Roman" w:cs="Times New Roman"/>
          <w:sz w:val="24"/>
        </w:rPr>
        <w:t xml:space="preserve">ific to low-income households who </w:t>
      </w:r>
      <w:r w:rsidRPr="00B96673">
        <w:rPr>
          <w:rFonts w:ascii="Times New Roman" w:eastAsia="Calibri" w:hAnsi="Times New Roman" w:cs="Times New Roman"/>
          <w:sz w:val="24"/>
        </w:rPr>
        <w:t>qualify for HUD rental assistance, that is, those with extremely low, very low, and low incomes (less than 30 percent, 50 percent, and 80 percent of area median household income).</w:t>
      </w:r>
      <w:r>
        <w:rPr>
          <w:rFonts w:ascii="Times New Roman" w:eastAsia="Calibri" w:hAnsi="Times New Roman" w:cs="Times New Roman"/>
          <w:sz w:val="24"/>
        </w:rPr>
        <w:t xml:space="preserve"> </w:t>
      </w:r>
      <w:r w:rsidRPr="00B96673">
        <w:rPr>
          <w:rFonts w:ascii="Times New Roman" w:eastAsia="Calibri" w:hAnsi="Times New Roman" w:cs="Times New Roman"/>
          <w:sz w:val="24"/>
        </w:rPr>
        <w:t>The travel and vehicle ownership patterns of low-income households are likely to be qualitatively different from those of higher income households</w:t>
      </w:r>
      <w:r>
        <w:rPr>
          <w:rFonts w:ascii="Times New Roman" w:eastAsia="Calibri" w:hAnsi="Times New Roman" w:cs="Times New Roman"/>
          <w:sz w:val="24"/>
        </w:rPr>
        <w:t>.</w:t>
      </w:r>
    </w:p>
    <w:p w:rsidR="008D6FC2" w:rsidRDefault="00C16DD7" w:rsidP="00C65520">
      <w:pPr>
        <w:spacing w:after="0" w:line="480" w:lineRule="auto"/>
        <w:ind w:firstLine="810"/>
        <w:rPr>
          <w:rFonts w:ascii="Times New Roman" w:eastAsia="Calibri" w:hAnsi="Times New Roman" w:cs="Times New Roman"/>
          <w:sz w:val="24"/>
        </w:rPr>
      </w:pPr>
      <w:r w:rsidRPr="00D81CB3">
        <w:rPr>
          <w:rFonts w:ascii="Times New Roman" w:eastAsia="Calibri" w:hAnsi="Times New Roman" w:cs="Times New Roman"/>
          <w:sz w:val="24"/>
        </w:rPr>
        <w:t>For the purpose of modeling, we use household travel survey databases for diverse regions in which have collected in the last few years</w:t>
      </w:r>
      <w:r w:rsidR="001B67AA">
        <w:rPr>
          <w:rFonts w:ascii="Times New Roman" w:eastAsia="Calibri" w:hAnsi="Times New Roman" w:cs="Times New Roman"/>
          <w:sz w:val="24"/>
        </w:rPr>
        <w:t xml:space="preserve"> (</w:t>
      </w:r>
      <w:r w:rsidR="001B67AA" w:rsidRPr="001B67AA">
        <w:rPr>
          <w:rFonts w:ascii="Times New Roman" w:eastAsia="Calibri" w:hAnsi="Times New Roman" w:cs="Times New Roman"/>
          <w:sz w:val="24"/>
          <w:highlight w:val="yellow"/>
        </w:rPr>
        <w:t>see Ewing et al. 2014 for more information on the databases)</w:t>
      </w:r>
      <w:r w:rsidRPr="00D81CB3">
        <w:rPr>
          <w:rFonts w:ascii="Times New Roman" w:eastAsia="Calibri" w:hAnsi="Times New Roman" w:cs="Times New Roman"/>
          <w:sz w:val="24"/>
        </w:rPr>
        <w:t xml:space="preserve">. </w:t>
      </w:r>
      <w:r w:rsidR="000778BD" w:rsidRPr="00D81CB3">
        <w:rPr>
          <w:rFonts w:ascii="Times New Roman" w:eastAsia="Calibri" w:hAnsi="Times New Roman" w:cs="Times New Roman"/>
          <w:sz w:val="24"/>
        </w:rPr>
        <w:t>At p</w:t>
      </w:r>
      <w:r w:rsidR="008D6FC2" w:rsidRPr="00D81CB3">
        <w:rPr>
          <w:rFonts w:ascii="Times New Roman" w:eastAsia="Calibri" w:hAnsi="Times New Roman" w:cs="Times New Roman"/>
          <w:sz w:val="24"/>
        </w:rPr>
        <w:t>resent, we have consistent data</w:t>
      </w:r>
      <w:r w:rsidR="000778BD" w:rsidRPr="00D81CB3">
        <w:rPr>
          <w:rFonts w:ascii="Times New Roman" w:eastAsia="Calibri" w:hAnsi="Times New Roman" w:cs="Times New Roman"/>
          <w:sz w:val="24"/>
        </w:rPr>
        <w:t xml:space="preserve">sets </w:t>
      </w:r>
      <w:r w:rsidR="008D6FC2" w:rsidRPr="00D81CB3">
        <w:rPr>
          <w:rFonts w:ascii="Times New Roman" w:eastAsia="Calibri" w:hAnsi="Times New Roman" w:cs="Times New Roman"/>
          <w:sz w:val="24"/>
        </w:rPr>
        <w:t xml:space="preserve">for </w:t>
      </w:r>
      <w:r w:rsidR="001B67AA" w:rsidRPr="001B67AA">
        <w:rPr>
          <w:rFonts w:ascii="Times New Roman" w:eastAsia="Calibri" w:hAnsi="Times New Roman" w:cs="Times New Roman"/>
          <w:sz w:val="24"/>
          <w:highlight w:val="yellow"/>
        </w:rPr>
        <w:t>15</w:t>
      </w:r>
      <w:r w:rsidR="008D6FC2" w:rsidRPr="00D81CB3">
        <w:rPr>
          <w:rFonts w:ascii="Times New Roman" w:eastAsia="Calibri" w:hAnsi="Times New Roman" w:cs="Times New Roman"/>
          <w:sz w:val="24"/>
        </w:rPr>
        <w:t xml:space="preserve"> regions. The resulting </w:t>
      </w:r>
      <w:r w:rsidR="00D530BC">
        <w:rPr>
          <w:rFonts w:ascii="Times New Roman" w:eastAsia="Calibri" w:hAnsi="Times New Roman" w:cs="Times New Roman"/>
          <w:sz w:val="24"/>
        </w:rPr>
        <w:t xml:space="preserve">combined </w:t>
      </w:r>
      <w:r w:rsidR="008D6FC2" w:rsidRPr="00D81CB3">
        <w:rPr>
          <w:rFonts w:ascii="Times New Roman" w:eastAsia="Calibri" w:hAnsi="Times New Roman" w:cs="Times New Roman"/>
          <w:sz w:val="24"/>
        </w:rPr>
        <w:t>data</w:t>
      </w:r>
      <w:r w:rsidR="00D530BC">
        <w:rPr>
          <w:rFonts w:ascii="Times New Roman" w:eastAsia="Calibri" w:hAnsi="Times New Roman" w:cs="Times New Roman"/>
          <w:sz w:val="24"/>
        </w:rPr>
        <w:t>base</w:t>
      </w:r>
      <w:r w:rsidR="000778BD" w:rsidRPr="00D81CB3">
        <w:rPr>
          <w:rFonts w:ascii="Times New Roman" w:eastAsia="Calibri" w:hAnsi="Times New Roman" w:cs="Times New Roman"/>
          <w:sz w:val="24"/>
        </w:rPr>
        <w:t xml:space="preserve"> consists of </w:t>
      </w:r>
      <w:r w:rsidR="001B67AA" w:rsidRPr="001B67AA">
        <w:rPr>
          <w:rFonts w:ascii="Times New Roman" w:eastAsia="Calibri" w:hAnsi="Times New Roman" w:cs="Times New Roman"/>
          <w:sz w:val="24"/>
          <w:highlight w:val="yellow"/>
        </w:rPr>
        <w:t>62,011</w:t>
      </w:r>
      <w:r w:rsidR="00114FB6" w:rsidRPr="00D81CB3">
        <w:rPr>
          <w:rFonts w:ascii="Times New Roman" w:eastAsia="Calibri" w:hAnsi="Times New Roman" w:cs="Times New Roman"/>
          <w:sz w:val="24"/>
        </w:rPr>
        <w:t xml:space="preserve"> </w:t>
      </w:r>
      <w:r w:rsidRPr="00D81CB3">
        <w:rPr>
          <w:rFonts w:ascii="Times New Roman" w:eastAsia="Calibri" w:hAnsi="Times New Roman" w:cs="Times New Roman"/>
          <w:sz w:val="24"/>
        </w:rPr>
        <w:t xml:space="preserve">households in the </w:t>
      </w:r>
      <w:r w:rsidR="001B67AA" w:rsidRPr="001B67AA">
        <w:rPr>
          <w:rFonts w:ascii="Times New Roman" w:eastAsia="Calibri" w:hAnsi="Times New Roman" w:cs="Times New Roman"/>
          <w:sz w:val="24"/>
          <w:highlight w:val="yellow"/>
        </w:rPr>
        <w:t>15</w:t>
      </w:r>
      <w:r w:rsidR="000778BD" w:rsidRPr="00D81CB3">
        <w:rPr>
          <w:rFonts w:ascii="Times New Roman" w:eastAsia="Calibri" w:hAnsi="Times New Roman" w:cs="Times New Roman"/>
          <w:sz w:val="24"/>
        </w:rPr>
        <w:t xml:space="preserve"> regions (see Table 2). The regions are diverse as Boston and Portland at one end of the urban form continuum and Houston and Kansas City at the other. </w:t>
      </w:r>
      <w:r w:rsidR="008D6FC2" w:rsidRPr="00B96673">
        <w:rPr>
          <w:rFonts w:ascii="Times New Roman" w:eastAsia="Calibri" w:hAnsi="Times New Roman" w:cs="Times New Roman"/>
          <w:sz w:val="24"/>
        </w:rPr>
        <w:t>In our database, we have thous</w:t>
      </w:r>
      <w:r w:rsidR="008D6FC2">
        <w:rPr>
          <w:rFonts w:ascii="Times New Roman" w:eastAsia="Calibri" w:hAnsi="Times New Roman" w:cs="Times New Roman"/>
          <w:sz w:val="24"/>
        </w:rPr>
        <w:t xml:space="preserve">ands of low-income households. </w:t>
      </w:r>
      <w:r w:rsidR="008D6FC2" w:rsidRPr="00B96673">
        <w:rPr>
          <w:rFonts w:ascii="Times New Roman" w:eastAsia="Calibri" w:hAnsi="Times New Roman" w:cs="Times New Roman"/>
          <w:sz w:val="24"/>
        </w:rPr>
        <w:t>Based on changes in the consumer price index, we have inflated reported household incomes for earlier survey years to 2012 d</w:t>
      </w:r>
      <w:r w:rsidR="00FE72E4">
        <w:rPr>
          <w:rFonts w:ascii="Times New Roman" w:eastAsia="Calibri" w:hAnsi="Times New Roman" w:cs="Times New Roman"/>
          <w:sz w:val="24"/>
        </w:rPr>
        <w:t xml:space="preserve">ollars. </w:t>
      </w:r>
      <w:r w:rsidR="008D6FC2" w:rsidRPr="00B96673">
        <w:rPr>
          <w:rFonts w:ascii="Times New Roman" w:eastAsia="Calibri" w:hAnsi="Times New Roman" w:cs="Times New Roman"/>
          <w:sz w:val="24"/>
        </w:rPr>
        <w:t xml:space="preserve">We have then applied the HUD low income standard for each region and household size to our surveyed households, and found that </w:t>
      </w:r>
      <w:r w:rsidR="00526E9B">
        <w:rPr>
          <w:rFonts w:ascii="Times New Roman" w:eastAsia="Calibri" w:hAnsi="Times New Roman" w:cs="Times New Roman"/>
          <w:sz w:val="24"/>
        </w:rPr>
        <w:t>17,916</w:t>
      </w:r>
      <w:r>
        <w:rPr>
          <w:rFonts w:ascii="Times New Roman" w:eastAsia="Calibri" w:hAnsi="Times New Roman" w:cs="Times New Roman"/>
          <w:sz w:val="24"/>
        </w:rPr>
        <w:t xml:space="preserve"> </w:t>
      </w:r>
      <w:r w:rsidR="008D6FC2" w:rsidRPr="00B96673">
        <w:rPr>
          <w:rFonts w:ascii="Times New Roman" w:eastAsia="Calibri" w:hAnsi="Times New Roman" w:cs="Times New Roman"/>
          <w:sz w:val="24"/>
        </w:rPr>
        <w:t xml:space="preserve">households would qualify for HUD rental assistance, a number which will expand as we add regions to our household travel database.  </w:t>
      </w:r>
    </w:p>
    <w:p w:rsidR="007679B2" w:rsidRDefault="00C16DD7" w:rsidP="00C65520">
      <w:pPr>
        <w:spacing w:after="0" w:line="480" w:lineRule="auto"/>
        <w:ind w:firstLine="810"/>
        <w:rPr>
          <w:rFonts w:ascii="Times New Roman" w:eastAsia="Calibri" w:hAnsi="Times New Roman" w:cs="Times New Roman"/>
          <w:sz w:val="24"/>
        </w:rPr>
      </w:pPr>
      <w:r w:rsidRPr="00D81CB3">
        <w:rPr>
          <w:rFonts w:ascii="Times New Roman" w:eastAsia="Calibri" w:hAnsi="Times New Roman" w:cs="Times New Roman"/>
          <w:sz w:val="24"/>
        </w:rPr>
        <w:t xml:space="preserve">To our knowledge, this is the largest sample of household travel records ever assembled for such a study outside the National Household Travel Survey (NHTS).  And relative to NHTS, </w:t>
      </w:r>
      <w:r w:rsidRPr="00D81CB3">
        <w:rPr>
          <w:rFonts w:ascii="Times New Roman" w:eastAsia="Calibri" w:hAnsi="Times New Roman" w:cs="Times New Roman"/>
          <w:sz w:val="24"/>
        </w:rPr>
        <w:lastRenderedPageBreak/>
        <w:t>our database provides much larger samples for individual regions and permits the calculation of a wide array of built environmental variables based on the precise location of households. NHTS provides geocodes (identifies households) only at the census tract level.</w:t>
      </w:r>
    </w:p>
    <w:p w:rsidR="00C33192" w:rsidRPr="00C33192" w:rsidRDefault="00C33192" w:rsidP="00C33192">
      <w:pPr>
        <w:spacing w:after="0" w:line="480" w:lineRule="auto"/>
        <w:ind w:firstLine="720"/>
        <w:rPr>
          <w:rFonts w:ascii="Times New Roman" w:hAnsi="Times New Roman" w:cs="Times New Roman"/>
          <w:sz w:val="24"/>
          <w:szCs w:val="24"/>
        </w:rPr>
      </w:pPr>
      <w:bookmarkStart w:id="1" w:name="_Ref328137411"/>
      <w:r w:rsidRPr="00C33192">
        <w:rPr>
          <w:rFonts w:ascii="Times New Roman" w:hAnsi="Times New Roman" w:cs="Times New Roman"/>
          <w:sz w:val="24"/>
          <w:szCs w:val="24"/>
        </w:rPr>
        <w:t>[Table 1about here]</w:t>
      </w:r>
      <w:bookmarkEnd w:id="1"/>
    </w:p>
    <w:p w:rsidR="007C047B" w:rsidRDefault="007C047B" w:rsidP="00C65520">
      <w:pPr>
        <w:pStyle w:val="Heading2"/>
        <w:spacing w:line="480" w:lineRule="auto"/>
      </w:pPr>
      <w:r>
        <w:t>Data and variables</w:t>
      </w:r>
    </w:p>
    <w:p w:rsidR="00C65520" w:rsidRDefault="00763834" w:rsidP="00C65520">
      <w:pPr>
        <w:spacing w:after="0" w:line="480" w:lineRule="auto"/>
        <w:rPr>
          <w:rFonts w:ascii="Times New Roman" w:eastAsia="Calibri" w:hAnsi="Times New Roman" w:cs="Times New Roman"/>
          <w:sz w:val="24"/>
        </w:rPr>
      </w:pPr>
      <w:r w:rsidRPr="00763834">
        <w:rPr>
          <w:rFonts w:ascii="Times New Roman" w:eastAsia="Calibri" w:hAnsi="Times New Roman" w:cs="Times New Roman"/>
          <w:sz w:val="24"/>
        </w:rPr>
        <w:t xml:space="preserve">Our analysis </w:t>
      </w:r>
      <w:r w:rsidR="00B86FE5">
        <w:rPr>
          <w:rFonts w:ascii="Times New Roman" w:eastAsia="Calibri" w:hAnsi="Times New Roman" w:cs="Times New Roman"/>
          <w:sz w:val="24"/>
        </w:rPr>
        <w:t>is</w:t>
      </w:r>
      <w:r w:rsidRPr="00763834">
        <w:rPr>
          <w:rFonts w:ascii="Times New Roman" w:eastAsia="Calibri" w:hAnsi="Times New Roman" w:cs="Times New Roman"/>
          <w:sz w:val="24"/>
        </w:rPr>
        <w:t xml:space="preserve"> based on disaggregate (household) travel and vehicle ownership data for tens of thousands of households in many diverse me</w:t>
      </w:r>
      <w:r w:rsidR="008D6FC2">
        <w:rPr>
          <w:rFonts w:ascii="Times New Roman" w:eastAsia="Calibri" w:hAnsi="Times New Roman" w:cs="Times New Roman"/>
          <w:sz w:val="24"/>
        </w:rPr>
        <w:t xml:space="preserve">tropolitan regions of the U.S. </w:t>
      </w:r>
      <w:r w:rsidRPr="00763834">
        <w:rPr>
          <w:rFonts w:ascii="Times New Roman" w:eastAsia="Calibri" w:hAnsi="Times New Roman" w:cs="Times New Roman"/>
          <w:sz w:val="24"/>
        </w:rPr>
        <w:t>Our current househol</w:t>
      </w:r>
      <w:r w:rsidR="008D6FC2">
        <w:rPr>
          <w:rFonts w:ascii="Times New Roman" w:eastAsia="Calibri" w:hAnsi="Times New Roman" w:cs="Times New Roman"/>
          <w:sz w:val="24"/>
        </w:rPr>
        <w:t xml:space="preserve">d travel database consists of </w:t>
      </w:r>
      <w:r w:rsidR="00654F94" w:rsidRPr="00654F94">
        <w:rPr>
          <w:rFonts w:ascii="Times New Roman" w:eastAsia="Calibri" w:hAnsi="Times New Roman" w:cs="Times New Roman"/>
          <w:sz w:val="24"/>
          <w:highlight w:val="yellow"/>
        </w:rPr>
        <w:t>15</w:t>
      </w:r>
      <w:r w:rsidR="00C65520">
        <w:rPr>
          <w:rFonts w:ascii="Times New Roman" w:eastAsia="Calibri" w:hAnsi="Times New Roman" w:cs="Times New Roman"/>
          <w:sz w:val="24"/>
        </w:rPr>
        <w:t xml:space="preserve"> metropolitan regions. </w:t>
      </w:r>
    </w:p>
    <w:p w:rsidR="00763834" w:rsidRPr="00763834" w:rsidRDefault="00763834" w:rsidP="00C65520">
      <w:pPr>
        <w:spacing w:after="0" w:line="480" w:lineRule="auto"/>
        <w:ind w:firstLine="720"/>
        <w:rPr>
          <w:rFonts w:ascii="Times New Roman" w:eastAsia="Calibri" w:hAnsi="Times New Roman" w:cs="Times New Roman"/>
          <w:sz w:val="24"/>
        </w:rPr>
      </w:pPr>
      <w:r w:rsidRPr="00763834">
        <w:rPr>
          <w:rFonts w:ascii="Times New Roman" w:eastAsia="Calibri" w:hAnsi="Times New Roman" w:cs="Times New Roman"/>
          <w:sz w:val="24"/>
        </w:rPr>
        <w:t>All surveys provide XY coordinates for households and their trips. This allows travel to be modeled in terms of the precise built environment in which households reside and travel occurs.  For individual trips, trip purpose, travel mode, travel time, and other variables are</w:t>
      </w:r>
      <w:r w:rsidR="008D6FC2">
        <w:rPr>
          <w:rFonts w:ascii="Times New Roman" w:eastAsia="Calibri" w:hAnsi="Times New Roman" w:cs="Times New Roman"/>
          <w:sz w:val="24"/>
        </w:rPr>
        <w:t xml:space="preserve"> available from the survey data</w:t>
      </w:r>
      <w:r w:rsidRPr="00763834">
        <w:rPr>
          <w:rFonts w:ascii="Times New Roman" w:eastAsia="Calibri" w:hAnsi="Times New Roman" w:cs="Times New Roman"/>
          <w:sz w:val="24"/>
        </w:rPr>
        <w:t>set.  Distance traveled on each trip was either supplied or computed wit</w:t>
      </w:r>
      <w:r w:rsidR="008D6FC2">
        <w:rPr>
          <w:rFonts w:ascii="Times New Roman" w:eastAsia="Calibri" w:hAnsi="Times New Roman" w:cs="Times New Roman"/>
          <w:sz w:val="24"/>
        </w:rPr>
        <w:t xml:space="preserve">h GIS from the XY coordinates. </w:t>
      </w:r>
      <w:r w:rsidRPr="00763834">
        <w:rPr>
          <w:rFonts w:ascii="Times New Roman" w:eastAsia="Calibri" w:hAnsi="Times New Roman" w:cs="Times New Roman"/>
          <w:sz w:val="24"/>
        </w:rPr>
        <w:t>For travelers, individual age, employment status, driver’s licensure, and other variables are available from the survey data set.  For households, household size, household income, vehicle ownership, and other variables are</w:t>
      </w:r>
      <w:r w:rsidR="008D6FC2">
        <w:rPr>
          <w:rFonts w:ascii="Times New Roman" w:eastAsia="Calibri" w:hAnsi="Times New Roman" w:cs="Times New Roman"/>
          <w:sz w:val="24"/>
        </w:rPr>
        <w:t xml:space="preserve"> available from the survey data</w:t>
      </w:r>
      <w:r w:rsidRPr="00763834">
        <w:rPr>
          <w:rFonts w:ascii="Times New Roman" w:eastAsia="Calibri" w:hAnsi="Times New Roman" w:cs="Times New Roman"/>
          <w:sz w:val="24"/>
        </w:rPr>
        <w:t>set.  This allows us to control for socio</w:t>
      </w:r>
      <w:r w:rsidR="00751FB0">
        <w:rPr>
          <w:rFonts w:ascii="Times New Roman" w:eastAsia="Calibri" w:hAnsi="Times New Roman" w:cs="Times New Roman"/>
          <w:sz w:val="24"/>
        </w:rPr>
        <w:t>-</w:t>
      </w:r>
      <w:r w:rsidRPr="00763834">
        <w:rPr>
          <w:rFonts w:ascii="Times New Roman" w:eastAsia="Calibri" w:hAnsi="Times New Roman" w:cs="Times New Roman"/>
          <w:sz w:val="24"/>
        </w:rPr>
        <w:t>demographic influences on travel at the household level.</w:t>
      </w:r>
    </w:p>
    <w:p w:rsidR="00B96673" w:rsidRPr="008D6FC2" w:rsidRDefault="008D6FC2" w:rsidP="00C65520">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Other data</w:t>
      </w:r>
      <w:r w:rsidR="00763834" w:rsidRPr="00763834">
        <w:rPr>
          <w:rFonts w:ascii="Times New Roman" w:eastAsia="Calibri" w:hAnsi="Times New Roman" w:cs="Times New Roman"/>
          <w:sz w:val="24"/>
        </w:rPr>
        <w:t xml:space="preserve">sets have been collected for the same years as the travel surveys in order to estimate values of many D variables for 1/4, 1/2, and 1-mile radius </w:t>
      </w:r>
      <w:r>
        <w:rPr>
          <w:rFonts w:ascii="Times New Roman" w:eastAsia="Calibri" w:hAnsi="Times New Roman" w:cs="Times New Roman"/>
          <w:sz w:val="24"/>
        </w:rPr>
        <w:t xml:space="preserve">buffers around each household. </w:t>
      </w:r>
      <w:r w:rsidR="00763834" w:rsidRPr="00763834">
        <w:rPr>
          <w:rFonts w:ascii="Times New Roman" w:eastAsia="Calibri" w:hAnsi="Times New Roman" w:cs="Times New Roman"/>
          <w:sz w:val="24"/>
        </w:rPr>
        <w:t xml:space="preserve">These include a geocoded parcel land use layer, geocoded street and transit layers, and travel time skims, population, and employment by traffic analysis zone as supplied by the regions’ metropolitan planning organizations (MPOs). </w:t>
      </w:r>
    </w:p>
    <w:p w:rsidR="00C33192" w:rsidRDefault="00763834" w:rsidP="00C33192">
      <w:pPr>
        <w:spacing w:after="0" w:line="480" w:lineRule="auto"/>
        <w:ind w:firstLine="720"/>
        <w:rPr>
          <w:rFonts w:ascii="Times New Roman" w:eastAsia="Calibri" w:hAnsi="Times New Roman" w:cs="Times New Roman"/>
          <w:sz w:val="24"/>
        </w:rPr>
      </w:pPr>
      <w:r w:rsidRPr="00763834">
        <w:rPr>
          <w:rFonts w:ascii="Times New Roman" w:eastAsia="Calibri" w:hAnsi="Times New Roman" w:cs="Times New Roman"/>
          <w:sz w:val="24"/>
        </w:rPr>
        <w:lastRenderedPageBreak/>
        <w:t>Vari</w:t>
      </w:r>
      <w:r w:rsidR="00871163">
        <w:rPr>
          <w:rFonts w:ascii="Times New Roman" w:eastAsia="Calibri" w:hAnsi="Times New Roman" w:cs="Times New Roman"/>
          <w:sz w:val="24"/>
        </w:rPr>
        <w:t>ables extracted from these data</w:t>
      </w:r>
      <w:r w:rsidRPr="00763834">
        <w:rPr>
          <w:rFonts w:ascii="Times New Roman" w:eastAsia="Calibri" w:hAnsi="Times New Roman" w:cs="Times New Roman"/>
          <w:sz w:val="24"/>
        </w:rPr>
        <w:t>sets and used in subseque</w:t>
      </w:r>
      <w:r w:rsidR="008B59C3">
        <w:rPr>
          <w:rFonts w:ascii="Times New Roman" w:eastAsia="Calibri" w:hAnsi="Times New Roman" w:cs="Times New Roman"/>
          <w:sz w:val="24"/>
        </w:rPr>
        <w:t>nt modeling are shown in Table 2</w:t>
      </w:r>
      <w:r w:rsidRPr="00763834">
        <w:rPr>
          <w:rFonts w:ascii="Times New Roman" w:eastAsia="Calibri" w:hAnsi="Times New Roman" w:cs="Times New Roman"/>
          <w:sz w:val="24"/>
        </w:rPr>
        <w:t>.  The table only makes reference to ½ mile buffers, but data for ¼ mile and one mi</w:t>
      </w:r>
      <w:r w:rsidR="00871163">
        <w:rPr>
          <w:rFonts w:ascii="Times New Roman" w:eastAsia="Calibri" w:hAnsi="Times New Roman" w:cs="Times New Roman"/>
          <w:sz w:val="24"/>
        </w:rPr>
        <w:t xml:space="preserve">le buffers are also available. </w:t>
      </w:r>
      <w:r w:rsidR="00A76D47" w:rsidRPr="00A76D47">
        <w:rPr>
          <w:rFonts w:ascii="Times New Roman" w:eastAsia="Calibri" w:hAnsi="Times New Roman" w:cs="Times New Roman"/>
          <w:sz w:val="24"/>
        </w:rPr>
        <w:t>The variables in this study cover all of the Ds,</w:t>
      </w:r>
      <w:r w:rsidR="00A76D47">
        <w:rPr>
          <w:rFonts w:ascii="Times New Roman" w:eastAsia="Calibri" w:hAnsi="Times New Roman" w:cs="Times New Roman"/>
          <w:sz w:val="24"/>
        </w:rPr>
        <w:t xml:space="preserve"> from density to demographics. </w:t>
      </w:r>
      <w:r w:rsidRPr="00763834">
        <w:rPr>
          <w:rFonts w:ascii="Times New Roman" w:eastAsia="Calibri" w:hAnsi="Times New Roman" w:cs="Times New Roman"/>
          <w:sz w:val="24"/>
        </w:rPr>
        <w:t>All variables are consistently defined from region to region.</w:t>
      </w:r>
    </w:p>
    <w:p w:rsidR="00C33192" w:rsidRPr="00C33192" w:rsidRDefault="00C33192" w:rsidP="00C33192">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Table 2 </w:t>
      </w:r>
      <w:r w:rsidRPr="00C33192">
        <w:rPr>
          <w:rFonts w:ascii="Times New Roman" w:hAnsi="Times New Roman" w:cs="Times New Roman"/>
          <w:sz w:val="24"/>
          <w:szCs w:val="24"/>
        </w:rPr>
        <w:t>about here]</w:t>
      </w:r>
    </w:p>
    <w:p w:rsidR="00763834" w:rsidRPr="00763834" w:rsidRDefault="00763834" w:rsidP="00C65520">
      <w:pPr>
        <w:pStyle w:val="Heading2"/>
        <w:spacing w:line="480" w:lineRule="auto"/>
        <w:rPr>
          <w:rFonts w:eastAsia="Calibri"/>
        </w:rPr>
      </w:pPr>
      <w:r w:rsidRPr="00763834">
        <w:rPr>
          <w:rFonts w:eastAsia="Calibri"/>
        </w:rPr>
        <w:t>Statistical Methods</w:t>
      </w:r>
    </w:p>
    <w:p w:rsidR="00A76D47" w:rsidRDefault="00A76D47" w:rsidP="00C65520">
      <w:pPr>
        <w:spacing w:after="0" w:line="480" w:lineRule="auto"/>
        <w:rPr>
          <w:rFonts w:ascii="Times New Roman" w:eastAsia="Calibri" w:hAnsi="Times New Roman" w:cs="Times New Roman"/>
          <w:sz w:val="24"/>
        </w:rPr>
      </w:pPr>
      <w:r>
        <w:rPr>
          <w:rFonts w:ascii="Times New Roman" w:eastAsia="Calibri" w:hAnsi="Times New Roman" w:cs="Times New Roman"/>
          <w:sz w:val="24"/>
        </w:rPr>
        <w:t>As shown in Table 2</w:t>
      </w:r>
      <w:r w:rsidR="00763834" w:rsidRPr="00763834">
        <w:rPr>
          <w:rFonts w:ascii="Times New Roman" w:eastAsia="Calibri" w:hAnsi="Times New Roman" w:cs="Times New Roman"/>
          <w:sz w:val="24"/>
        </w:rPr>
        <w:t>, our data structure is multi-level with households “nested” within regions.   This creates a dependence among households in the same region, which violates the independence assumption of ordinary least squares (OLS) regression and leads to inefficient and biased regression coefficients</w:t>
      </w:r>
      <w:r>
        <w:rPr>
          <w:rFonts w:ascii="Times New Roman" w:eastAsia="Calibri" w:hAnsi="Times New Roman" w:cs="Times New Roman"/>
          <w:sz w:val="24"/>
        </w:rPr>
        <w:t xml:space="preserve"> and standard error estimates </w:t>
      </w:r>
      <w:r w:rsidRPr="00A76D47">
        <w:rPr>
          <w:rFonts w:ascii="Times New Roman" w:eastAsia="Calibri" w:hAnsi="Times New Roman" w:cs="Times New Roman"/>
          <w:sz w:val="24"/>
        </w:rPr>
        <w:t>(Raudenbush and Bryk, 2002)</w:t>
      </w:r>
      <w:r>
        <w:rPr>
          <w:rFonts w:ascii="Times New Roman" w:eastAsia="Calibri" w:hAnsi="Times New Roman" w:cs="Times New Roman"/>
          <w:sz w:val="24"/>
        </w:rPr>
        <w:t xml:space="preserve">. </w:t>
      </w:r>
      <w:r w:rsidR="00763834" w:rsidRPr="00763834">
        <w:rPr>
          <w:rFonts w:ascii="Times New Roman" w:eastAsia="Calibri" w:hAnsi="Times New Roman" w:cs="Times New Roman"/>
          <w:sz w:val="24"/>
        </w:rPr>
        <w:t>That is to say, households in Boston are likely to have very different travel and vehicle ownership patterns than households in Houston, irrespective of their socioeconomic and neighborhood characteristics.</w:t>
      </w:r>
      <w:r w:rsidR="00967046">
        <w:rPr>
          <w:rFonts w:ascii="Times New Roman" w:eastAsia="Calibri" w:hAnsi="Times New Roman" w:cs="Times New Roman"/>
          <w:sz w:val="24"/>
        </w:rPr>
        <w:t xml:space="preserve"> </w:t>
      </w:r>
      <w:r w:rsidR="00763834" w:rsidRPr="00763834">
        <w:rPr>
          <w:rFonts w:ascii="Times New Roman" w:eastAsia="Calibri" w:hAnsi="Times New Roman" w:cs="Times New Roman"/>
          <w:sz w:val="24"/>
        </w:rPr>
        <w:t xml:space="preserve">Such a nested data structure requires multi-level modeling (MLM) to account for the shared characteristics of </w:t>
      </w:r>
      <w:r>
        <w:rPr>
          <w:rFonts w:ascii="Times New Roman" w:eastAsia="Calibri" w:hAnsi="Times New Roman" w:cs="Times New Roman"/>
          <w:sz w:val="24"/>
        </w:rPr>
        <w:t xml:space="preserve">households in the same region. </w:t>
      </w:r>
      <w:r w:rsidRPr="00A76D47">
        <w:rPr>
          <w:rFonts w:ascii="Times New Roman" w:eastAsia="Calibri" w:hAnsi="Times New Roman" w:cs="Times New Roman"/>
          <w:sz w:val="24"/>
        </w:rPr>
        <w:t xml:space="preserve">MLM partitions variance between the household/neighborhood level (Level 1) and the region level (Level 2) and then seeks to explain the variance at each level in terms of D variables.   </w:t>
      </w:r>
    </w:p>
    <w:p w:rsidR="00967046" w:rsidRPr="00D81CB3" w:rsidRDefault="00967046" w:rsidP="00C65520">
      <w:pPr>
        <w:spacing w:after="0" w:line="480" w:lineRule="auto"/>
        <w:ind w:firstLine="720"/>
        <w:rPr>
          <w:rFonts w:ascii="Times New Roman" w:eastAsia="Calibri" w:hAnsi="Times New Roman" w:cs="Times New Roman"/>
          <w:sz w:val="24"/>
        </w:rPr>
      </w:pPr>
      <w:r w:rsidRPr="00D81CB3">
        <w:rPr>
          <w:rFonts w:ascii="Times New Roman" w:eastAsia="Calibri" w:hAnsi="Times New Roman" w:cs="Times New Roman"/>
          <w:sz w:val="24"/>
        </w:rPr>
        <w:t>The dependent variables are of two types: continuous (household VMT) and counts (household transit</w:t>
      </w:r>
      <w:r w:rsidR="002C5881" w:rsidRPr="00D81CB3">
        <w:rPr>
          <w:rFonts w:ascii="Times New Roman" w:eastAsia="Calibri" w:hAnsi="Times New Roman" w:cs="Times New Roman"/>
          <w:sz w:val="24"/>
        </w:rPr>
        <w:t xml:space="preserve"> trips and household vehicle ownership</w:t>
      </w:r>
      <w:r w:rsidRPr="00D81CB3">
        <w:rPr>
          <w:rFonts w:ascii="Times New Roman" w:eastAsia="Calibri" w:hAnsi="Times New Roman" w:cs="Times New Roman"/>
          <w:sz w:val="24"/>
        </w:rPr>
        <w:t xml:space="preserve">).  VMT per household has two characteristics that complicate the modeling of it.  First, it is non-normally distributed, highly skewed to the left.  The solution to this problem is to take the natural logarithm of VMT, which becomes our dependent variable.  Second, it has a large number of zero values for households that generate no VMT.  These households use only alternative modes such as transit or walking.  </w:t>
      </w:r>
      <w:r w:rsidR="004B6960" w:rsidRPr="00D81CB3">
        <w:rPr>
          <w:rFonts w:ascii="Times New Roman" w:eastAsia="Calibri" w:hAnsi="Times New Roman" w:cs="Times New Roman"/>
          <w:sz w:val="24"/>
        </w:rPr>
        <w:lastRenderedPageBreak/>
        <w:t>Twelve</w:t>
      </w:r>
      <w:r w:rsidRPr="00D81CB3">
        <w:rPr>
          <w:rFonts w:ascii="Times New Roman" w:eastAsia="Calibri" w:hAnsi="Times New Roman" w:cs="Times New Roman"/>
          <w:sz w:val="24"/>
        </w:rPr>
        <w:t xml:space="preserve"> percent of households in the sample fall into this category.  When VMT is log transformed, these households have undefined values of the dependent variable.  </w:t>
      </w:r>
    </w:p>
    <w:p w:rsidR="00967046" w:rsidRPr="00D81CB3" w:rsidRDefault="00967046" w:rsidP="00C65520">
      <w:pPr>
        <w:spacing w:after="0" w:line="480" w:lineRule="auto"/>
        <w:ind w:firstLine="720"/>
        <w:rPr>
          <w:rFonts w:ascii="Times New Roman" w:eastAsia="Calibri" w:hAnsi="Times New Roman" w:cs="Times New Roman"/>
          <w:sz w:val="24"/>
        </w:rPr>
      </w:pPr>
      <w:r w:rsidRPr="00D81CB3">
        <w:rPr>
          <w:rFonts w:ascii="Times New Roman" w:eastAsia="Calibri" w:hAnsi="Times New Roman" w:cs="Times New Roman"/>
          <w:sz w:val="24"/>
        </w:rPr>
        <w:t>The proper solution to the problem of excess zero values (what is referred to in the econometric literature as “zero inflation”) is to estimate two-stage “hurdle” models (Greene</w:t>
      </w:r>
      <w:r w:rsidRPr="00D81CB3">
        <w:rPr>
          <w:rFonts w:ascii="Times New Roman" w:eastAsia="Calibri" w:hAnsi="Times New Roman" w:cs="Times New Roman" w:hint="eastAsia"/>
          <w:sz w:val="24"/>
        </w:rPr>
        <w:t>,</w:t>
      </w:r>
      <w:r w:rsidRPr="00D81CB3">
        <w:rPr>
          <w:rFonts w:ascii="Times New Roman" w:eastAsia="Calibri" w:hAnsi="Times New Roman" w:cs="Times New Roman"/>
          <w:sz w:val="24"/>
        </w:rPr>
        <w:t xml:space="preserve"> 2012, pp. 443, 824-826).  The stage 1 model categorizes households as either generating VMT or not.  The stage 2 model estimates the amount of VMT generated for households with any (positive) VMT.  </w:t>
      </w:r>
      <w:r w:rsidR="00526E9B">
        <w:rPr>
          <w:rFonts w:ascii="Times New Roman" w:eastAsia="Calibri" w:hAnsi="Times New Roman" w:cs="Times New Roman"/>
          <w:sz w:val="24"/>
        </w:rPr>
        <w:t xml:space="preserve">The predicted VMT is just the </w:t>
      </w:r>
      <w:r w:rsidR="00C27B3E">
        <w:rPr>
          <w:rFonts w:ascii="Times New Roman" w:eastAsia="Calibri" w:hAnsi="Times New Roman" w:cs="Times New Roman"/>
          <w:sz w:val="24"/>
        </w:rPr>
        <w:t xml:space="preserve">product of the probability of </w:t>
      </w:r>
      <w:r w:rsidR="00526E9B">
        <w:rPr>
          <w:rFonts w:ascii="Times New Roman" w:eastAsia="Calibri" w:hAnsi="Times New Roman" w:cs="Times New Roman"/>
          <w:sz w:val="24"/>
        </w:rPr>
        <w:t>household</w:t>
      </w:r>
      <w:r w:rsidR="00C27B3E">
        <w:rPr>
          <w:rFonts w:ascii="Times New Roman" w:eastAsia="Calibri" w:hAnsi="Times New Roman" w:cs="Times New Roman"/>
          <w:sz w:val="24"/>
        </w:rPr>
        <w:t>s</w:t>
      </w:r>
      <w:r w:rsidR="00526E9B">
        <w:rPr>
          <w:rFonts w:ascii="Times New Roman" w:eastAsia="Calibri" w:hAnsi="Times New Roman" w:cs="Times New Roman"/>
          <w:sz w:val="24"/>
        </w:rPr>
        <w:t xml:space="preserve"> having VMT times the amount of </w:t>
      </w:r>
      <w:r w:rsidR="00C27B3E">
        <w:rPr>
          <w:rFonts w:ascii="Times New Roman" w:eastAsia="Calibri" w:hAnsi="Times New Roman" w:cs="Times New Roman"/>
          <w:sz w:val="24"/>
        </w:rPr>
        <w:t xml:space="preserve">VMT generated by households with any VMT. </w:t>
      </w:r>
      <w:r w:rsidRPr="00D81CB3">
        <w:rPr>
          <w:rFonts w:ascii="Times New Roman" w:eastAsia="Calibri" w:hAnsi="Times New Roman" w:cs="Times New Roman"/>
          <w:sz w:val="24"/>
        </w:rPr>
        <w:t>We are aware of no previous application of hurdle models to the planning field.</w:t>
      </w:r>
    </w:p>
    <w:p w:rsidR="00967046" w:rsidRPr="00D81CB3" w:rsidRDefault="00967046" w:rsidP="00C65520">
      <w:pPr>
        <w:spacing w:after="0" w:line="480" w:lineRule="auto"/>
        <w:ind w:firstLine="720"/>
        <w:rPr>
          <w:rFonts w:ascii="Times New Roman" w:eastAsia="Calibri" w:hAnsi="Times New Roman" w:cs="Times New Roman"/>
          <w:sz w:val="24"/>
        </w:rPr>
      </w:pPr>
      <w:r w:rsidRPr="00D81CB3">
        <w:rPr>
          <w:rFonts w:ascii="Times New Roman" w:eastAsia="Calibri" w:hAnsi="Times New Roman" w:cs="Times New Roman"/>
          <w:sz w:val="24"/>
        </w:rPr>
        <w:t xml:space="preserve">The other </w:t>
      </w:r>
      <w:r w:rsidR="002C5881" w:rsidRPr="00D81CB3">
        <w:rPr>
          <w:rFonts w:ascii="Times New Roman" w:eastAsia="Calibri" w:hAnsi="Times New Roman" w:cs="Times New Roman"/>
          <w:sz w:val="24"/>
        </w:rPr>
        <w:t xml:space="preserve">two </w:t>
      </w:r>
      <w:r w:rsidRPr="00D81CB3">
        <w:rPr>
          <w:rFonts w:ascii="Times New Roman" w:eastAsia="Calibri" w:hAnsi="Times New Roman" w:cs="Times New Roman"/>
          <w:sz w:val="24"/>
        </w:rPr>
        <w:t>variable</w:t>
      </w:r>
      <w:r w:rsidR="002C5881" w:rsidRPr="00D81CB3">
        <w:rPr>
          <w:rFonts w:ascii="Times New Roman" w:eastAsia="Calibri" w:hAnsi="Times New Roman" w:cs="Times New Roman"/>
          <w:sz w:val="24"/>
        </w:rPr>
        <w:t>s</w:t>
      </w:r>
      <w:r w:rsidRPr="00D81CB3">
        <w:rPr>
          <w:rFonts w:ascii="Times New Roman" w:eastAsia="Calibri" w:hAnsi="Times New Roman" w:cs="Times New Roman"/>
          <w:sz w:val="24"/>
        </w:rPr>
        <w:t xml:space="preserve"> that we wish</w:t>
      </w:r>
      <w:r w:rsidR="002C5881" w:rsidRPr="00D81CB3">
        <w:rPr>
          <w:rFonts w:ascii="Times New Roman" w:eastAsia="Calibri" w:hAnsi="Times New Roman" w:cs="Times New Roman"/>
          <w:sz w:val="24"/>
        </w:rPr>
        <w:t xml:space="preserve"> to model are transit trip</w:t>
      </w:r>
      <w:r w:rsidRPr="00D81CB3">
        <w:rPr>
          <w:rFonts w:ascii="Times New Roman" w:eastAsia="Calibri" w:hAnsi="Times New Roman" w:cs="Times New Roman"/>
          <w:sz w:val="24"/>
        </w:rPr>
        <w:t xml:space="preserve"> counts</w:t>
      </w:r>
      <w:r w:rsidR="002C5881" w:rsidRPr="00D81CB3">
        <w:rPr>
          <w:rFonts w:ascii="Times New Roman" w:eastAsia="Calibri" w:hAnsi="Times New Roman" w:cs="Times New Roman"/>
          <w:sz w:val="24"/>
        </w:rPr>
        <w:t xml:space="preserve"> and household vehicle ownership</w:t>
      </w:r>
      <w:r w:rsidRPr="00D81CB3">
        <w:rPr>
          <w:rFonts w:ascii="Times New Roman" w:eastAsia="Calibri" w:hAnsi="Times New Roman" w:cs="Times New Roman"/>
          <w:sz w:val="24"/>
        </w:rPr>
        <w:t xml:space="preserve">.  Two basic methods of analysis are available when the dependent variable is a count, with nonnegative integer values, many small values and few large ones. The methods are Poisson regression and negative binomial regression.  The two models – Poisson and negative binomial – differ in their assumptions about the distribution of the dependent variable.  </w:t>
      </w:r>
      <w:r w:rsidR="00526E9B">
        <w:rPr>
          <w:rFonts w:ascii="Times New Roman" w:eastAsia="Calibri" w:hAnsi="Times New Roman" w:cs="Times New Roman"/>
          <w:sz w:val="24"/>
        </w:rPr>
        <w:t xml:space="preserve">Poisson regression is appropriate is the dependent variable is </w:t>
      </w:r>
      <w:r w:rsidR="000E075F">
        <w:rPr>
          <w:rFonts w:ascii="Times New Roman" w:eastAsia="Calibri" w:hAnsi="Times New Roman" w:cs="Times New Roman"/>
          <w:sz w:val="24"/>
        </w:rPr>
        <w:t>equi-dispersed, meaning</w:t>
      </w:r>
      <w:r w:rsidR="00526E9B">
        <w:rPr>
          <w:rFonts w:ascii="Times New Roman" w:eastAsia="Calibri" w:hAnsi="Times New Roman" w:cs="Times New Roman"/>
          <w:sz w:val="24"/>
        </w:rPr>
        <w:t xml:space="preserve"> the variance of counts is equal to the mean. </w:t>
      </w:r>
      <w:r w:rsidRPr="00D81CB3">
        <w:rPr>
          <w:rFonts w:ascii="Times New Roman" w:eastAsia="Calibri" w:hAnsi="Times New Roman" w:cs="Times New Roman"/>
          <w:sz w:val="24"/>
        </w:rPr>
        <w:t>Negative binomial regression is appropriate if the dependent variable is overdispersed, meaning that the variance of counts is greater than the mean.  Popular indicators of overdispersion are the Pearson and χ2 statistics divided by the degrees of freedom, so-called dispersion statistics.  If these statistics are greater than 1.0, a model is said to be overdispersed (Hilbe, 2011, p</w:t>
      </w:r>
      <w:r w:rsidRPr="00D81CB3">
        <w:rPr>
          <w:rFonts w:ascii="Times New Roman" w:eastAsia="Calibri" w:hAnsi="Times New Roman" w:cs="Times New Roman" w:hint="eastAsia"/>
          <w:sz w:val="24"/>
        </w:rPr>
        <w:t>p</w:t>
      </w:r>
      <w:r w:rsidRPr="00D81CB3">
        <w:rPr>
          <w:rFonts w:ascii="Times New Roman" w:eastAsia="Calibri" w:hAnsi="Times New Roman" w:cs="Times New Roman"/>
          <w:sz w:val="24"/>
        </w:rPr>
        <w:t>. 88</w:t>
      </w:r>
      <w:r w:rsidRPr="00D81CB3">
        <w:rPr>
          <w:rFonts w:ascii="Times New Roman" w:eastAsia="Calibri" w:hAnsi="Times New Roman" w:cs="Times New Roman" w:hint="eastAsia"/>
          <w:sz w:val="24"/>
        </w:rPr>
        <w:t>,</w:t>
      </w:r>
      <w:r w:rsidR="000E075F">
        <w:rPr>
          <w:rFonts w:ascii="Times New Roman" w:eastAsia="Calibri" w:hAnsi="Times New Roman" w:cs="Times New Roman"/>
          <w:sz w:val="24"/>
        </w:rPr>
        <w:t xml:space="preserve"> 142). </w:t>
      </w:r>
      <w:r w:rsidRPr="00D81CB3">
        <w:rPr>
          <w:rFonts w:ascii="Times New Roman" w:eastAsia="Calibri" w:hAnsi="Times New Roman" w:cs="Times New Roman"/>
          <w:sz w:val="24"/>
        </w:rPr>
        <w:t xml:space="preserve">By these measures, we have overdispersion of trip counts in our data set, and the negative binomial model is more appropriate than the Poisson model.  </w:t>
      </w:r>
    </w:p>
    <w:p w:rsidR="00967046" w:rsidRPr="00D81CB3" w:rsidRDefault="00967046" w:rsidP="00C65520">
      <w:pPr>
        <w:spacing w:after="0" w:line="480" w:lineRule="auto"/>
        <w:ind w:firstLine="720"/>
        <w:rPr>
          <w:rFonts w:ascii="Times New Roman" w:eastAsia="Calibri" w:hAnsi="Times New Roman" w:cs="Times New Roman"/>
          <w:sz w:val="24"/>
        </w:rPr>
      </w:pPr>
      <w:r w:rsidRPr="00D81CB3">
        <w:rPr>
          <w:rFonts w:ascii="Times New Roman" w:eastAsia="Calibri" w:hAnsi="Times New Roman" w:cs="Times New Roman"/>
          <w:sz w:val="24"/>
        </w:rPr>
        <w:lastRenderedPageBreak/>
        <w:t xml:space="preserve">The other statistical complication is the excess number of zero values for </w:t>
      </w:r>
      <w:r w:rsidR="002C5881" w:rsidRPr="00D81CB3">
        <w:rPr>
          <w:rFonts w:ascii="Times New Roman" w:eastAsia="Calibri" w:hAnsi="Times New Roman" w:cs="Times New Roman"/>
          <w:sz w:val="24"/>
        </w:rPr>
        <w:t>transit trip variable</w:t>
      </w:r>
      <w:r w:rsidR="000E075F">
        <w:rPr>
          <w:rFonts w:ascii="Times New Roman" w:eastAsia="Calibri" w:hAnsi="Times New Roman" w:cs="Times New Roman"/>
          <w:sz w:val="24"/>
        </w:rPr>
        <w:t xml:space="preserve">. </w:t>
      </w:r>
      <w:r w:rsidR="00083781" w:rsidRPr="00D81CB3">
        <w:rPr>
          <w:rFonts w:ascii="Times New Roman" w:eastAsia="Calibri" w:hAnsi="Times New Roman" w:cs="Times New Roman"/>
          <w:sz w:val="24"/>
        </w:rPr>
        <w:t xml:space="preserve">About </w:t>
      </w:r>
      <w:r w:rsidR="004B6960" w:rsidRPr="00D81CB3">
        <w:rPr>
          <w:rFonts w:ascii="Times New Roman" w:eastAsia="Calibri" w:hAnsi="Times New Roman" w:cs="Times New Roman"/>
          <w:sz w:val="24"/>
        </w:rPr>
        <w:t>87</w:t>
      </w:r>
      <w:r w:rsidRPr="00D81CB3">
        <w:rPr>
          <w:rFonts w:ascii="Times New Roman" w:eastAsia="Calibri" w:hAnsi="Times New Roman" w:cs="Times New Roman"/>
          <w:sz w:val="24"/>
        </w:rPr>
        <w:t xml:space="preserve"> percent of </w:t>
      </w:r>
      <w:r w:rsidR="00083781" w:rsidRPr="00D81CB3">
        <w:rPr>
          <w:rFonts w:ascii="Times New Roman" w:eastAsia="Calibri" w:hAnsi="Times New Roman" w:cs="Times New Roman"/>
          <w:sz w:val="24"/>
        </w:rPr>
        <w:t xml:space="preserve">households have </w:t>
      </w:r>
      <w:r w:rsidR="000E075F">
        <w:rPr>
          <w:rFonts w:ascii="Times New Roman" w:eastAsia="Calibri" w:hAnsi="Times New Roman" w:cs="Times New Roman"/>
          <w:sz w:val="24"/>
        </w:rPr>
        <w:t xml:space="preserve">no transit trips. </w:t>
      </w:r>
      <w:r w:rsidRPr="00D81CB3">
        <w:rPr>
          <w:rFonts w:ascii="Times New Roman" w:eastAsia="Calibri" w:hAnsi="Times New Roman" w:cs="Times New Roman"/>
          <w:sz w:val="24"/>
        </w:rPr>
        <w:t xml:space="preserve">Again, the solution to the problem of zero inflation is to estimate two-stage hurdle models.  The first stage is the estimation of logistic regression models to distinguish between households with and without walk, bike, or transit trips.  The second stage is the estimation of negative binomial regression models for the number of trips by these modes for households that have such trips. </w:t>
      </w:r>
    </w:p>
    <w:p w:rsidR="00083781" w:rsidRPr="00D81CB3" w:rsidRDefault="00083781" w:rsidP="00C65520">
      <w:pPr>
        <w:spacing w:after="0" w:line="480" w:lineRule="auto"/>
        <w:ind w:firstLine="720"/>
        <w:rPr>
          <w:rFonts w:ascii="Times New Roman" w:eastAsia="Calibri" w:hAnsi="Times New Roman" w:cs="Times New Roman"/>
          <w:sz w:val="24"/>
        </w:rPr>
      </w:pPr>
      <w:r w:rsidRPr="00D81CB3">
        <w:rPr>
          <w:rFonts w:ascii="Times New Roman" w:eastAsia="Calibri" w:hAnsi="Times New Roman" w:cs="Times New Roman"/>
          <w:sz w:val="24"/>
        </w:rPr>
        <w:t>Models were estimated with HLM 7, Hierarchical Linear and Nonlinear Modeling software (Raudenbush, Bryk, Cheong, and Congdon, 2010).  HLM 7 allows the estimation of multi-level models for continuous, dichotomous, and count variables, and for the last of these, can account for overdispersion.</w:t>
      </w:r>
    </w:p>
    <w:p w:rsidR="00083781" w:rsidRPr="00D81CB3" w:rsidRDefault="00083781" w:rsidP="00C65520">
      <w:pPr>
        <w:spacing w:after="0" w:line="480" w:lineRule="auto"/>
        <w:ind w:firstLine="720"/>
        <w:rPr>
          <w:rFonts w:ascii="Times New Roman" w:eastAsia="Calibri" w:hAnsi="Times New Roman" w:cs="Times New Roman"/>
          <w:sz w:val="24"/>
        </w:rPr>
      </w:pPr>
      <w:r w:rsidRPr="00D81CB3">
        <w:rPr>
          <w:rFonts w:ascii="Times New Roman" w:eastAsia="Calibri" w:hAnsi="Times New Roman" w:cs="Times New Roman"/>
          <w:sz w:val="24"/>
        </w:rPr>
        <w:t>There is no theoretically superior model involving different D variables and different buffer widths. Theoretically, buffers could be wide or narrow. Even a determinant as straightforward as walking distance could be anywhere from one quarter mile to one mile or more.  Different Ds may emerge as significant in different models.  So trial and error was used to arrive at the best-fit models for the travel outcomes of interest.  Variables were substituted into models to see if they were statistically significant and improved goodness-of-fit. For each dependent variable, we were looking for the model with the most significant t-statistics and the greatest log-likelihood.</w:t>
      </w:r>
    </w:p>
    <w:p w:rsidR="00083781" w:rsidRPr="00083781" w:rsidRDefault="00B331C3" w:rsidP="00C65520">
      <w:pPr>
        <w:pStyle w:val="Heading3"/>
        <w:spacing w:line="480" w:lineRule="auto"/>
        <w:rPr>
          <w:rFonts w:eastAsia="Malgun Gothic"/>
        </w:rPr>
      </w:pPr>
      <w:r>
        <w:rPr>
          <w:rFonts w:eastAsia="Malgun Gothic"/>
        </w:rPr>
        <w:t>Transportation models</w:t>
      </w:r>
    </w:p>
    <w:p w:rsidR="00ED7910" w:rsidRDefault="00083781" w:rsidP="00C33192">
      <w:pPr>
        <w:spacing w:after="0" w:line="480" w:lineRule="auto"/>
        <w:rPr>
          <w:rFonts w:ascii="Times New Roman" w:eastAsia="Calibri" w:hAnsi="Times New Roman" w:cs="Times New Roman"/>
          <w:sz w:val="24"/>
        </w:rPr>
      </w:pPr>
      <w:r w:rsidRPr="00D81CB3">
        <w:rPr>
          <w:rFonts w:ascii="Times New Roman" w:eastAsia="Calibri" w:hAnsi="Times New Roman" w:cs="Times New Roman"/>
          <w:sz w:val="24"/>
        </w:rPr>
        <w:t xml:space="preserve">The best-fit model for the dichotomous variable, any VMT (1=yes, 0=no), is presented in Table 3. The likelihood of a household generating any VMT increases with household size, </w:t>
      </w:r>
      <w:r w:rsidR="00C16DD7" w:rsidRPr="00D81CB3">
        <w:rPr>
          <w:rFonts w:ascii="Times New Roman" w:eastAsia="Calibri" w:hAnsi="Times New Roman" w:cs="Times New Roman"/>
          <w:sz w:val="24"/>
        </w:rPr>
        <w:t xml:space="preserve">number of employed members, </w:t>
      </w:r>
      <w:r w:rsidRPr="00D81CB3">
        <w:rPr>
          <w:rFonts w:ascii="Times New Roman" w:eastAsia="Calibri" w:hAnsi="Times New Roman" w:cs="Times New Roman"/>
          <w:sz w:val="24"/>
        </w:rPr>
        <w:t>real household income</w:t>
      </w:r>
      <w:r w:rsidR="00C16DD7" w:rsidRPr="00D81CB3">
        <w:rPr>
          <w:rFonts w:ascii="Times New Roman" w:eastAsia="Calibri" w:hAnsi="Times New Roman" w:cs="Times New Roman"/>
          <w:sz w:val="24"/>
        </w:rPr>
        <w:t xml:space="preserve"> and living in a single family housing</w:t>
      </w:r>
      <w:r w:rsidRPr="00D81CB3">
        <w:rPr>
          <w:rFonts w:ascii="Times New Roman" w:eastAsia="Calibri" w:hAnsi="Times New Roman" w:cs="Times New Roman"/>
          <w:sz w:val="24"/>
        </w:rPr>
        <w:t>.  The likelihood of any VMT declines with</w:t>
      </w:r>
      <w:r w:rsidR="00B72DC9" w:rsidRPr="00D81CB3">
        <w:rPr>
          <w:rFonts w:ascii="Times New Roman" w:eastAsia="Calibri" w:hAnsi="Times New Roman" w:cs="Times New Roman"/>
          <w:sz w:val="24"/>
        </w:rPr>
        <w:t xml:space="preserve"> percentage of regional employment accessible within 10 minutes by </w:t>
      </w:r>
      <w:r w:rsidR="00B72DC9" w:rsidRPr="00D81CB3">
        <w:rPr>
          <w:rFonts w:ascii="Times New Roman" w:eastAsia="Calibri" w:hAnsi="Times New Roman" w:cs="Times New Roman"/>
          <w:sz w:val="24"/>
        </w:rPr>
        <w:lastRenderedPageBreak/>
        <w:t>automobile</w:t>
      </w:r>
      <w:r w:rsidRPr="00D81CB3">
        <w:rPr>
          <w:rFonts w:ascii="Times New Roman" w:eastAsia="Calibri" w:hAnsi="Times New Roman" w:cs="Times New Roman"/>
          <w:sz w:val="24"/>
        </w:rPr>
        <w:t>, with land use entropy within</w:t>
      </w:r>
      <w:r w:rsidR="00102889" w:rsidRPr="00D81CB3">
        <w:rPr>
          <w:rFonts w:ascii="Times New Roman" w:eastAsia="Calibri" w:hAnsi="Times New Roman" w:cs="Times New Roman"/>
          <w:sz w:val="24"/>
        </w:rPr>
        <w:t xml:space="preserve"> a quarter mile of a household</w:t>
      </w:r>
      <w:r w:rsidRPr="00D81CB3">
        <w:rPr>
          <w:rFonts w:ascii="Times New Roman" w:eastAsia="Calibri" w:hAnsi="Times New Roman" w:cs="Times New Roman"/>
          <w:sz w:val="24"/>
        </w:rPr>
        <w:t>, with</w:t>
      </w:r>
      <w:r w:rsidR="00C16DD7" w:rsidRPr="00D81CB3">
        <w:rPr>
          <w:rFonts w:ascii="Times New Roman" w:eastAsia="Calibri" w:hAnsi="Times New Roman" w:cs="Times New Roman"/>
          <w:sz w:val="24"/>
        </w:rPr>
        <w:t xml:space="preserve"> intersection density </w:t>
      </w:r>
      <w:r w:rsidR="00102889" w:rsidRPr="00D81CB3">
        <w:rPr>
          <w:rFonts w:ascii="Times New Roman" w:eastAsia="Calibri" w:hAnsi="Times New Roman" w:cs="Times New Roman"/>
          <w:sz w:val="24"/>
        </w:rPr>
        <w:t>within a half mile</w:t>
      </w:r>
      <w:r w:rsidRPr="00D81CB3">
        <w:rPr>
          <w:rFonts w:ascii="Times New Roman" w:eastAsia="Calibri" w:hAnsi="Times New Roman" w:cs="Times New Roman"/>
          <w:sz w:val="24"/>
        </w:rPr>
        <w:t xml:space="preserve">, with percentage of four-way intersections within a </w:t>
      </w:r>
      <w:r w:rsidR="00102889" w:rsidRPr="00D81CB3">
        <w:rPr>
          <w:rFonts w:ascii="Times New Roman" w:eastAsia="Calibri" w:hAnsi="Times New Roman" w:cs="Times New Roman"/>
          <w:sz w:val="24"/>
        </w:rPr>
        <w:t xml:space="preserve">half </w:t>
      </w:r>
      <w:r w:rsidRPr="00D81CB3">
        <w:rPr>
          <w:rFonts w:ascii="Times New Roman" w:eastAsia="Calibri" w:hAnsi="Times New Roman" w:cs="Times New Roman"/>
          <w:sz w:val="24"/>
        </w:rPr>
        <w:t xml:space="preserve">mile, and with </w:t>
      </w:r>
      <w:r w:rsidR="00102889" w:rsidRPr="00D81CB3">
        <w:rPr>
          <w:rFonts w:ascii="Times New Roman" w:eastAsia="Calibri" w:hAnsi="Times New Roman" w:cs="Times New Roman"/>
          <w:sz w:val="24"/>
        </w:rPr>
        <w:t>average transit frequency within a quarter mile of the block group</w:t>
      </w:r>
      <w:r w:rsidRPr="00D81CB3">
        <w:rPr>
          <w:rFonts w:ascii="Times New Roman" w:eastAsia="Calibri" w:hAnsi="Times New Roman" w:cs="Times New Roman"/>
          <w:sz w:val="24"/>
        </w:rPr>
        <w:t xml:space="preserve">.  Basically, those who live in highly accessible places (characterized by these five D variables) are better able to make do without automobile trips.  However, the probability of any VMT remains high for all cohorts. </w:t>
      </w:r>
    </w:p>
    <w:p w:rsidR="00C33192" w:rsidRPr="00C33192" w:rsidRDefault="00C33192" w:rsidP="00C33192">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Table 3 </w:t>
      </w:r>
      <w:r w:rsidRPr="00C33192">
        <w:rPr>
          <w:rFonts w:ascii="Times New Roman" w:hAnsi="Times New Roman" w:cs="Times New Roman"/>
          <w:sz w:val="24"/>
          <w:szCs w:val="24"/>
        </w:rPr>
        <w:t>about here]</w:t>
      </w:r>
    </w:p>
    <w:p w:rsidR="007679B2" w:rsidRDefault="00083781" w:rsidP="00C33192">
      <w:pPr>
        <w:spacing w:after="0" w:line="480" w:lineRule="auto"/>
        <w:ind w:firstLine="720"/>
        <w:rPr>
          <w:rFonts w:ascii="Times New Roman" w:eastAsia="Calibri" w:hAnsi="Times New Roman" w:cs="Times New Roman"/>
          <w:sz w:val="24"/>
        </w:rPr>
      </w:pPr>
      <w:r w:rsidRPr="00D81CB3">
        <w:rPr>
          <w:rFonts w:ascii="Times New Roman" w:eastAsia="Calibri" w:hAnsi="Times New Roman" w:cs="Times New Roman"/>
          <w:sz w:val="24"/>
        </w:rPr>
        <w:t>The best-fit model for the continuous variable natural logarithm of VMT (for households that generate VMT) is presented in Table 4. Results parallel those for the dichotomous variable any VMT, though the exact specification of the model is different.  Household VMT increases with household size, number of employed household members, and real household income.  Household VMT declines with percentage of regional employment accessible within 10 minutes by automobile</w:t>
      </w:r>
      <w:r w:rsidR="00B72DC9" w:rsidRPr="00D81CB3">
        <w:rPr>
          <w:rFonts w:ascii="Times New Roman" w:eastAsia="Calibri" w:hAnsi="Times New Roman" w:cs="Times New Roman"/>
          <w:sz w:val="24"/>
        </w:rPr>
        <w:t>, and with average transit frequency</w:t>
      </w:r>
      <w:r w:rsidRPr="00D81CB3">
        <w:rPr>
          <w:rFonts w:ascii="Times New Roman" w:eastAsia="Calibri" w:hAnsi="Times New Roman" w:cs="Times New Roman"/>
          <w:sz w:val="24"/>
        </w:rPr>
        <w:t xml:space="preserve">.  Household VMT also declines with two land use variables characterizing quarter-mile buffers around households: </w:t>
      </w:r>
      <w:r w:rsidR="00102889" w:rsidRPr="00D81CB3">
        <w:rPr>
          <w:rFonts w:ascii="Times New Roman" w:eastAsia="Calibri" w:hAnsi="Times New Roman" w:cs="Times New Roman"/>
          <w:sz w:val="24"/>
        </w:rPr>
        <w:t>activity density</w:t>
      </w:r>
      <w:r w:rsidRPr="00D81CB3">
        <w:rPr>
          <w:rFonts w:ascii="Times New Roman" w:eastAsia="Calibri" w:hAnsi="Times New Roman" w:cs="Times New Roman"/>
          <w:sz w:val="24"/>
        </w:rPr>
        <w:t xml:space="preserve"> and land use entropy.  Finally, household VMT declines with intersection </w:t>
      </w:r>
      <w:r w:rsidR="00102889" w:rsidRPr="00D81CB3">
        <w:rPr>
          <w:rFonts w:ascii="Times New Roman" w:eastAsia="Calibri" w:hAnsi="Times New Roman" w:cs="Times New Roman"/>
          <w:sz w:val="24"/>
        </w:rPr>
        <w:t>density and percentage of 4-way intersections within a half mile</w:t>
      </w:r>
      <w:r w:rsidRPr="00D81CB3">
        <w:rPr>
          <w:rFonts w:ascii="Times New Roman" w:eastAsia="Calibri" w:hAnsi="Times New Roman" w:cs="Times New Roman"/>
          <w:sz w:val="24"/>
        </w:rPr>
        <w:t xml:space="preserve">.  Again, those who live in highly accessible places (characterized by these D variables) generate less VMT than those in less accessible places.  </w:t>
      </w:r>
    </w:p>
    <w:p w:rsidR="00C33192" w:rsidRPr="00C33192" w:rsidRDefault="00C33192" w:rsidP="00C33192">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Table 4 </w:t>
      </w:r>
      <w:r w:rsidRPr="00C33192">
        <w:rPr>
          <w:rFonts w:ascii="Times New Roman" w:hAnsi="Times New Roman" w:cs="Times New Roman"/>
          <w:sz w:val="24"/>
          <w:szCs w:val="24"/>
        </w:rPr>
        <w:t>about here]</w:t>
      </w:r>
    </w:p>
    <w:p w:rsidR="007679B2" w:rsidRDefault="00102889" w:rsidP="00C33192">
      <w:pPr>
        <w:spacing w:after="0" w:line="480" w:lineRule="auto"/>
        <w:ind w:firstLine="720"/>
        <w:rPr>
          <w:rFonts w:ascii="Times New Roman" w:eastAsia="Calibri" w:hAnsi="Times New Roman" w:cs="Times New Roman"/>
          <w:sz w:val="24"/>
        </w:rPr>
      </w:pPr>
      <w:r w:rsidRPr="00D81CB3">
        <w:rPr>
          <w:rFonts w:ascii="Times New Roman" w:eastAsia="Calibri" w:hAnsi="Times New Roman" w:cs="Times New Roman"/>
          <w:sz w:val="24"/>
        </w:rPr>
        <w:t>The number of household vehicles increases with household size, number of employed members; real income and living in a single family housing unit</w:t>
      </w:r>
      <w:r w:rsidR="00AD415F" w:rsidRPr="00D81CB3">
        <w:rPr>
          <w:rFonts w:ascii="Times New Roman" w:eastAsia="Calibri" w:hAnsi="Times New Roman" w:cs="Times New Roman"/>
          <w:sz w:val="24"/>
        </w:rPr>
        <w:t xml:space="preserve"> (see Table 5</w:t>
      </w:r>
      <w:r w:rsidRPr="00D81CB3">
        <w:rPr>
          <w:rFonts w:ascii="Times New Roman" w:eastAsia="Calibri" w:hAnsi="Times New Roman" w:cs="Times New Roman"/>
          <w:sz w:val="24"/>
        </w:rPr>
        <w:t xml:space="preserve">).  Household vehicle ownership declines with </w:t>
      </w:r>
      <w:r w:rsidR="00B72DC9" w:rsidRPr="00D81CB3">
        <w:rPr>
          <w:rFonts w:ascii="Times New Roman" w:eastAsia="Calibri" w:hAnsi="Times New Roman" w:cs="Times New Roman"/>
          <w:sz w:val="24"/>
        </w:rPr>
        <w:t xml:space="preserve">percentage of regional employment accessible within 10 minutes by automobile, </w:t>
      </w:r>
      <w:r w:rsidR="00AD415F" w:rsidRPr="00D81CB3">
        <w:rPr>
          <w:rFonts w:ascii="Times New Roman" w:eastAsia="Calibri" w:hAnsi="Times New Roman" w:cs="Times New Roman"/>
          <w:sz w:val="24"/>
        </w:rPr>
        <w:t xml:space="preserve">activity density within a quarter mile, </w:t>
      </w:r>
      <w:r w:rsidRPr="00D81CB3">
        <w:rPr>
          <w:rFonts w:ascii="Times New Roman" w:eastAsia="Calibri" w:hAnsi="Times New Roman" w:cs="Times New Roman"/>
          <w:sz w:val="24"/>
        </w:rPr>
        <w:t>land use entropy within a quarter mile, percentage of four-way in</w:t>
      </w:r>
      <w:r w:rsidR="00B72DC9" w:rsidRPr="00D81CB3">
        <w:rPr>
          <w:rFonts w:ascii="Times New Roman" w:eastAsia="Calibri" w:hAnsi="Times New Roman" w:cs="Times New Roman"/>
          <w:sz w:val="24"/>
        </w:rPr>
        <w:t>tersections within a half mile</w:t>
      </w:r>
      <w:r w:rsidRPr="00D81CB3">
        <w:rPr>
          <w:rFonts w:ascii="Times New Roman" w:eastAsia="Calibri" w:hAnsi="Times New Roman" w:cs="Times New Roman"/>
          <w:sz w:val="24"/>
        </w:rPr>
        <w:t xml:space="preserve">, intersection density within a </w:t>
      </w:r>
      <w:r w:rsidR="00AD415F" w:rsidRPr="00D81CB3">
        <w:rPr>
          <w:rFonts w:ascii="Times New Roman" w:eastAsia="Calibri" w:hAnsi="Times New Roman" w:cs="Times New Roman"/>
          <w:sz w:val="24"/>
        </w:rPr>
        <w:t>half mile,</w:t>
      </w:r>
      <w:r w:rsidRPr="00D81CB3">
        <w:rPr>
          <w:rFonts w:ascii="Times New Roman" w:eastAsia="Calibri" w:hAnsi="Times New Roman" w:cs="Times New Roman"/>
          <w:sz w:val="24"/>
        </w:rPr>
        <w:t xml:space="preserve"> </w:t>
      </w:r>
      <w:r w:rsidR="00AD415F" w:rsidRPr="00D81CB3">
        <w:rPr>
          <w:rFonts w:ascii="Times New Roman" w:eastAsia="Calibri" w:hAnsi="Times New Roman" w:cs="Times New Roman"/>
          <w:sz w:val="24"/>
        </w:rPr>
        <w:t>and with transit frequency</w:t>
      </w:r>
      <w:r w:rsidRPr="00D81CB3">
        <w:rPr>
          <w:rFonts w:ascii="Times New Roman" w:eastAsia="Calibri" w:hAnsi="Times New Roman" w:cs="Times New Roman"/>
          <w:sz w:val="24"/>
        </w:rPr>
        <w:t xml:space="preserve">.  </w:t>
      </w:r>
    </w:p>
    <w:p w:rsidR="007679B2" w:rsidRPr="00C33192" w:rsidRDefault="00C33192" w:rsidP="00C33192">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lastRenderedPageBreak/>
        <w:t>[</w:t>
      </w:r>
      <w:r>
        <w:rPr>
          <w:rFonts w:ascii="Times New Roman" w:hAnsi="Times New Roman" w:cs="Times New Roman"/>
          <w:sz w:val="24"/>
          <w:szCs w:val="24"/>
        </w:rPr>
        <w:t xml:space="preserve">Table 5 </w:t>
      </w:r>
      <w:r w:rsidRPr="00C33192">
        <w:rPr>
          <w:rFonts w:ascii="Times New Roman" w:hAnsi="Times New Roman" w:cs="Times New Roman"/>
          <w:sz w:val="24"/>
          <w:szCs w:val="24"/>
        </w:rPr>
        <w:t>about here]</w:t>
      </w:r>
    </w:p>
    <w:p w:rsidR="007679B2" w:rsidRDefault="00083781" w:rsidP="00C33192">
      <w:pPr>
        <w:spacing w:after="0" w:line="480" w:lineRule="auto"/>
        <w:ind w:firstLine="720"/>
        <w:rPr>
          <w:rFonts w:ascii="Times New Roman" w:eastAsia="Calibri" w:hAnsi="Times New Roman" w:cs="Times New Roman"/>
          <w:sz w:val="24"/>
        </w:rPr>
      </w:pPr>
      <w:r w:rsidRPr="00D81CB3">
        <w:rPr>
          <w:rFonts w:ascii="Times New Roman" w:eastAsia="Calibri" w:hAnsi="Times New Roman" w:cs="Times New Roman"/>
          <w:sz w:val="24"/>
        </w:rPr>
        <w:t>The likelihood of a household having any transit trips increases with household size and number of employed members, and declines with income</w:t>
      </w:r>
      <w:r w:rsidR="0002249E" w:rsidRPr="00D81CB3">
        <w:rPr>
          <w:rFonts w:ascii="Times New Roman" w:eastAsia="Calibri" w:hAnsi="Times New Roman" w:cs="Times New Roman"/>
          <w:sz w:val="24"/>
        </w:rPr>
        <w:t xml:space="preserve"> </w:t>
      </w:r>
      <w:r w:rsidR="00AD415F" w:rsidRPr="00D81CB3">
        <w:rPr>
          <w:rFonts w:ascii="Times New Roman" w:eastAsia="Calibri" w:hAnsi="Times New Roman" w:cs="Times New Roman"/>
          <w:sz w:val="24"/>
        </w:rPr>
        <w:t xml:space="preserve">and single family housing </w:t>
      </w:r>
      <w:r w:rsidR="0002249E" w:rsidRPr="00D81CB3">
        <w:rPr>
          <w:rFonts w:ascii="Times New Roman" w:eastAsia="Calibri" w:hAnsi="Times New Roman" w:cs="Times New Roman"/>
          <w:sz w:val="24"/>
        </w:rPr>
        <w:t>(see Table 6</w:t>
      </w:r>
      <w:r w:rsidRPr="00D81CB3">
        <w:rPr>
          <w:rFonts w:ascii="Times New Roman" w:eastAsia="Calibri" w:hAnsi="Times New Roman" w:cs="Times New Roman"/>
          <w:sz w:val="24"/>
        </w:rPr>
        <w:t xml:space="preserve">).  It also depends on </w:t>
      </w:r>
      <w:r w:rsidR="00AD415F" w:rsidRPr="00D81CB3">
        <w:rPr>
          <w:rFonts w:ascii="Times New Roman" w:eastAsia="Calibri" w:hAnsi="Times New Roman" w:cs="Times New Roman"/>
          <w:sz w:val="24"/>
        </w:rPr>
        <w:t xml:space="preserve">land use </w:t>
      </w:r>
      <w:r w:rsidRPr="00D81CB3">
        <w:rPr>
          <w:rFonts w:ascii="Times New Roman" w:eastAsia="Calibri" w:hAnsi="Times New Roman" w:cs="Times New Roman"/>
          <w:sz w:val="24"/>
        </w:rPr>
        <w:t>diversity</w:t>
      </w:r>
      <w:r w:rsidR="00AD415F" w:rsidRPr="00D81CB3">
        <w:rPr>
          <w:rFonts w:ascii="Times New Roman" w:eastAsia="Calibri" w:hAnsi="Times New Roman" w:cs="Times New Roman"/>
          <w:sz w:val="24"/>
        </w:rPr>
        <w:t>, entropy with a quarter mile of a household</w:t>
      </w:r>
      <w:r w:rsidRPr="00D81CB3">
        <w:rPr>
          <w:rFonts w:ascii="Times New Roman" w:eastAsia="Calibri" w:hAnsi="Times New Roman" w:cs="Times New Roman"/>
          <w:sz w:val="24"/>
        </w:rPr>
        <w:t>, and design of the environment around a household</w:t>
      </w:r>
      <w:r w:rsidR="00AD415F" w:rsidRPr="00D81CB3">
        <w:rPr>
          <w:rFonts w:ascii="Times New Roman" w:eastAsia="Calibri" w:hAnsi="Times New Roman" w:cs="Times New Roman"/>
          <w:sz w:val="24"/>
        </w:rPr>
        <w:t>, intersection density and</w:t>
      </w:r>
      <w:r w:rsidR="00B72DC9" w:rsidRPr="00D81CB3">
        <w:rPr>
          <w:rFonts w:ascii="Times New Roman" w:eastAsia="Calibri" w:hAnsi="Times New Roman" w:cs="Times New Roman"/>
          <w:sz w:val="24"/>
        </w:rPr>
        <w:t xml:space="preserve"> percentage of four way intersections within half mile of households’ location</w:t>
      </w:r>
      <w:r w:rsidRPr="00D81CB3">
        <w:rPr>
          <w:rFonts w:ascii="Times New Roman" w:eastAsia="Calibri" w:hAnsi="Times New Roman" w:cs="Times New Roman"/>
          <w:sz w:val="24"/>
        </w:rPr>
        <w:t xml:space="preserve">. Transit-oriented development is virtually defined by these variables. </w:t>
      </w:r>
      <w:r w:rsidR="00AD415F" w:rsidRPr="00D81CB3">
        <w:rPr>
          <w:rFonts w:ascii="Times New Roman" w:eastAsia="Calibri" w:hAnsi="Times New Roman" w:cs="Times New Roman"/>
          <w:sz w:val="24"/>
        </w:rPr>
        <w:t>Also one</w:t>
      </w:r>
      <w:r w:rsidR="000B718A">
        <w:rPr>
          <w:rFonts w:ascii="Times New Roman" w:eastAsia="Calibri" w:hAnsi="Times New Roman" w:cs="Times New Roman"/>
          <w:sz w:val="24"/>
        </w:rPr>
        <w:t xml:space="preserve"> transit service variable</w:t>
      </w:r>
      <w:r w:rsidRPr="00D81CB3">
        <w:rPr>
          <w:rFonts w:ascii="Times New Roman" w:eastAsia="Calibri" w:hAnsi="Times New Roman" w:cs="Times New Roman"/>
          <w:sz w:val="24"/>
        </w:rPr>
        <w:t xml:space="preserve"> affect</w:t>
      </w:r>
      <w:r w:rsidR="000B718A">
        <w:rPr>
          <w:rFonts w:ascii="Times New Roman" w:eastAsia="Calibri" w:hAnsi="Times New Roman" w:cs="Times New Roman"/>
          <w:sz w:val="24"/>
        </w:rPr>
        <w:t>s</w:t>
      </w:r>
      <w:r w:rsidRPr="00D81CB3">
        <w:rPr>
          <w:rFonts w:ascii="Times New Roman" w:eastAsia="Calibri" w:hAnsi="Times New Roman" w:cs="Times New Roman"/>
          <w:sz w:val="24"/>
        </w:rPr>
        <w:t xml:space="preserve"> the likelihood of transit trips:</w:t>
      </w:r>
      <w:r w:rsidR="00AD415F" w:rsidRPr="00D81CB3">
        <w:rPr>
          <w:rFonts w:ascii="Times New Roman" w:eastAsia="Calibri" w:hAnsi="Times New Roman" w:cs="Times New Roman"/>
          <w:sz w:val="24"/>
        </w:rPr>
        <w:t xml:space="preserve"> transit </w:t>
      </w:r>
      <w:r w:rsidR="00080890" w:rsidRPr="00D81CB3">
        <w:rPr>
          <w:rFonts w:ascii="Times New Roman" w:eastAsia="Calibri" w:hAnsi="Times New Roman" w:cs="Times New Roman"/>
          <w:sz w:val="24"/>
        </w:rPr>
        <w:t>frequency</w:t>
      </w:r>
      <w:r w:rsidRPr="00D81CB3">
        <w:rPr>
          <w:rFonts w:ascii="Times New Roman" w:eastAsia="Calibri" w:hAnsi="Times New Roman" w:cs="Times New Roman"/>
          <w:sz w:val="24"/>
        </w:rPr>
        <w:t>.</w:t>
      </w:r>
    </w:p>
    <w:p w:rsidR="007679B2" w:rsidRPr="00C33192" w:rsidRDefault="00C33192" w:rsidP="00C33192">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Table 6 </w:t>
      </w:r>
      <w:r w:rsidRPr="00C33192">
        <w:rPr>
          <w:rFonts w:ascii="Times New Roman" w:hAnsi="Times New Roman" w:cs="Times New Roman"/>
          <w:sz w:val="24"/>
          <w:szCs w:val="24"/>
        </w:rPr>
        <w:t>about here]</w:t>
      </w:r>
    </w:p>
    <w:p w:rsidR="007679B2" w:rsidRDefault="00083781" w:rsidP="009F38B4">
      <w:pPr>
        <w:spacing w:after="0" w:line="480" w:lineRule="auto"/>
        <w:ind w:firstLine="720"/>
        <w:rPr>
          <w:rFonts w:ascii="Times New Roman" w:eastAsia="Calibri" w:hAnsi="Times New Roman" w:cs="Times New Roman"/>
          <w:sz w:val="24"/>
        </w:rPr>
      </w:pPr>
      <w:r w:rsidRPr="00D81CB3">
        <w:rPr>
          <w:rFonts w:ascii="Times New Roman" w:eastAsia="Calibri" w:hAnsi="Times New Roman" w:cs="Times New Roman"/>
          <w:sz w:val="24"/>
        </w:rPr>
        <w:t>The number of household transit trips for the subset of households that use transit increases wi</w:t>
      </w:r>
      <w:r w:rsidR="00AD415F" w:rsidRPr="00D81CB3">
        <w:rPr>
          <w:rFonts w:ascii="Times New Roman" w:eastAsia="Calibri" w:hAnsi="Times New Roman" w:cs="Times New Roman"/>
          <w:sz w:val="24"/>
        </w:rPr>
        <w:t>th household size</w:t>
      </w:r>
      <w:r w:rsidRPr="00D81CB3">
        <w:rPr>
          <w:rFonts w:ascii="Times New Roman" w:eastAsia="Calibri" w:hAnsi="Times New Roman" w:cs="Times New Roman"/>
          <w:sz w:val="24"/>
        </w:rPr>
        <w:t xml:space="preserve"> and declines with household income</w:t>
      </w:r>
      <w:r w:rsidR="0002249E" w:rsidRPr="00D81CB3">
        <w:rPr>
          <w:rFonts w:ascii="Times New Roman" w:eastAsia="Calibri" w:hAnsi="Times New Roman" w:cs="Times New Roman"/>
          <w:sz w:val="24"/>
        </w:rPr>
        <w:t xml:space="preserve"> (see Table 7</w:t>
      </w:r>
      <w:r w:rsidRPr="00D81CB3">
        <w:rPr>
          <w:rFonts w:ascii="Times New Roman" w:eastAsia="Calibri" w:hAnsi="Times New Roman" w:cs="Times New Roman"/>
          <w:sz w:val="24"/>
        </w:rPr>
        <w:t xml:space="preserve">).  The number increases with land use entropy within a </w:t>
      </w:r>
      <w:r w:rsidR="00AD415F" w:rsidRPr="00D81CB3">
        <w:rPr>
          <w:rFonts w:ascii="Times New Roman" w:eastAsia="Calibri" w:hAnsi="Times New Roman" w:cs="Times New Roman"/>
          <w:sz w:val="24"/>
        </w:rPr>
        <w:t>quarter mile of home</w:t>
      </w:r>
      <w:r w:rsidRPr="00D81CB3">
        <w:rPr>
          <w:rFonts w:ascii="Times New Roman" w:eastAsia="Calibri" w:hAnsi="Times New Roman" w:cs="Times New Roman"/>
          <w:sz w:val="24"/>
        </w:rPr>
        <w:t>.  It has long been speculated that mixed-use areas would generate more transit trips because the feasibility of trip chaining on the access trip to transit, that is, stopping along the way to conduct other personal business.  Interestingly, controlling for these variables, transit trip</w:t>
      </w:r>
      <w:r w:rsidR="00AD415F" w:rsidRPr="00D81CB3">
        <w:rPr>
          <w:rFonts w:ascii="Times New Roman" w:eastAsia="Calibri" w:hAnsi="Times New Roman" w:cs="Times New Roman"/>
          <w:sz w:val="24"/>
        </w:rPr>
        <w:t>s</w:t>
      </w:r>
      <w:r w:rsidRPr="00D81CB3">
        <w:rPr>
          <w:rFonts w:ascii="Times New Roman" w:eastAsia="Calibri" w:hAnsi="Times New Roman" w:cs="Times New Roman"/>
          <w:sz w:val="24"/>
        </w:rPr>
        <w:t xml:space="preserve"> does not appear to dep</w:t>
      </w:r>
      <w:r w:rsidR="00AD415F" w:rsidRPr="00D81CB3">
        <w:rPr>
          <w:rFonts w:ascii="Times New Roman" w:eastAsia="Calibri" w:hAnsi="Times New Roman" w:cs="Times New Roman"/>
          <w:sz w:val="24"/>
        </w:rPr>
        <w:t xml:space="preserve">end on transit </w:t>
      </w:r>
      <w:r w:rsidR="000B718A">
        <w:rPr>
          <w:rFonts w:ascii="Times New Roman" w:eastAsia="Calibri" w:hAnsi="Times New Roman" w:cs="Times New Roman"/>
          <w:sz w:val="24"/>
        </w:rPr>
        <w:t>service variable, transit freque</w:t>
      </w:r>
      <w:r w:rsidR="00AD415F" w:rsidRPr="00D81CB3">
        <w:rPr>
          <w:rFonts w:ascii="Times New Roman" w:eastAsia="Calibri" w:hAnsi="Times New Roman" w:cs="Times New Roman"/>
          <w:sz w:val="24"/>
        </w:rPr>
        <w:t>ncy</w:t>
      </w:r>
      <w:r w:rsidRPr="00D81CB3">
        <w:rPr>
          <w:rFonts w:ascii="Times New Roman" w:eastAsia="Calibri" w:hAnsi="Times New Roman" w:cs="Times New Roman"/>
          <w:sz w:val="24"/>
        </w:rPr>
        <w:t>.  It is as if once households make a decision to use transit, their frequency of use is determined only by socio</w:t>
      </w:r>
      <w:r w:rsidR="00EB4F0F" w:rsidRPr="00D81CB3">
        <w:rPr>
          <w:rFonts w:ascii="Times New Roman" w:eastAsia="Calibri" w:hAnsi="Times New Roman" w:cs="Times New Roman"/>
          <w:sz w:val="24"/>
        </w:rPr>
        <w:t>-</w:t>
      </w:r>
      <w:r w:rsidRPr="00D81CB3">
        <w:rPr>
          <w:rFonts w:ascii="Times New Roman" w:eastAsia="Calibri" w:hAnsi="Times New Roman" w:cs="Times New Roman"/>
          <w:sz w:val="24"/>
        </w:rPr>
        <w:t xml:space="preserve">demographics and </w:t>
      </w:r>
      <w:r w:rsidR="007679B2">
        <w:rPr>
          <w:rFonts w:ascii="Times New Roman" w:eastAsia="Calibri" w:hAnsi="Times New Roman" w:cs="Times New Roman"/>
          <w:sz w:val="24"/>
        </w:rPr>
        <w:t>the built environment.</w:t>
      </w:r>
    </w:p>
    <w:p w:rsidR="007679B2" w:rsidRPr="00C33192" w:rsidRDefault="00C33192" w:rsidP="009F38B4">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Table 7 </w:t>
      </w:r>
      <w:r w:rsidRPr="00C33192">
        <w:rPr>
          <w:rFonts w:ascii="Times New Roman" w:hAnsi="Times New Roman" w:cs="Times New Roman"/>
          <w:sz w:val="24"/>
          <w:szCs w:val="24"/>
        </w:rPr>
        <w:t>about here]</w:t>
      </w:r>
    </w:p>
    <w:p w:rsidR="007679B2" w:rsidRDefault="00083781" w:rsidP="009F38B4">
      <w:pPr>
        <w:spacing w:after="0" w:line="480" w:lineRule="auto"/>
        <w:ind w:firstLine="720"/>
        <w:rPr>
          <w:rFonts w:ascii="Times New Roman" w:eastAsia="Calibri" w:hAnsi="Times New Roman" w:cs="Times New Roman"/>
          <w:sz w:val="24"/>
        </w:rPr>
      </w:pPr>
      <w:r w:rsidRPr="00D81CB3">
        <w:rPr>
          <w:rFonts w:ascii="Times New Roman" w:eastAsia="Calibri" w:hAnsi="Times New Roman" w:cs="Times New Roman"/>
          <w:sz w:val="24"/>
        </w:rPr>
        <w:t>In the preceding tables, -2 times log-likelihood ratios are shown as measures of model fit.  The fitted model is being compared to the null m</w:t>
      </w:r>
      <w:r w:rsidR="000E075F">
        <w:rPr>
          <w:rFonts w:ascii="Times New Roman" w:eastAsia="Calibri" w:hAnsi="Times New Roman" w:cs="Times New Roman"/>
          <w:sz w:val="24"/>
        </w:rPr>
        <w:t xml:space="preserve">odel with only constant terms. </w:t>
      </w:r>
      <w:r w:rsidRPr="00D81CB3">
        <w:rPr>
          <w:rFonts w:ascii="Times New Roman" w:eastAsia="Calibri" w:hAnsi="Times New Roman" w:cs="Times New Roman"/>
          <w:sz w:val="24"/>
        </w:rPr>
        <w:t xml:space="preserve">Multiplying by -2 causes the resulting statistic to follow a chi-square distribution.  By this statistic, our models fit the data well.  Also shown are pseudo-R2s, largely because urban planners are used to dealing with R2s and may want this information.  Pseudo-R2s in multi-level modeling are not equivalent </w:t>
      </w:r>
      <w:r w:rsidRPr="00D81CB3">
        <w:rPr>
          <w:rFonts w:ascii="Times New Roman" w:eastAsia="Calibri" w:hAnsi="Times New Roman" w:cs="Times New Roman"/>
          <w:sz w:val="24"/>
        </w:rPr>
        <w:lastRenderedPageBreak/>
        <w:t>to R2s in ordinary least squares regression, and should not be interpreted the same way. The pseudo-R2 bears some resemblance to the statistic used to test the hypothesis that all coefficients in the model are zero, but there is no construction by which it is a measure of how well the model predicts the outcome variable in the way that R2 does in conventional regression analysis.</w:t>
      </w:r>
    </w:p>
    <w:p w:rsidR="00C27B3E" w:rsidRPr="00C27B3E" w:rsidRDefault="00C27B3E" w:rsidP="00C27B3E">
      <w:pPr>
        <w:pStyle w:val="Heading3"/>
        <w:spacing w:line="480" w:lineRule="auto"/>
        <w:rPr>
          <w:rFonts w:eastAsia="Calibri"/>
        </w:rPr>
      </w:pPr>
      <w:r>
        <w:rPr>
          <w:rFonts w:eastAsia="Calibri"/>
        </w:rPr>
        <w:t xml:space="preserve">Travel Outcome </w:t>
      </w:r>
      <w:r w:rsidRPr="00C27B3E">
        <w:rPr>
          <w:rFonts w:eastAsia="Calibri"/>
        </w:rPr>
        <w:t>Computations</w:t>
      </w:r>
    </w:p>
    <w:p w:rsidR="00C27B3E" w:rsidRPr="00C27B3E" w:rsidRDefault="00C27B3E" w:rsidP="000E075F">
      <w:pPr>
        <w:spacing w:after="0" w:line="480" w:lineRule="auto"/>
        <w:rPr>
          <w:rFonts w:ascii="Times New Roman" w:hAnsi="Times New Roman" w:cs="Times New Roman"/>
          <w:sz w:val="24"/>
          <w:szCs w:val="24"/>
        </w:rPr>
      </w:pPr>
      <w:r w:rsidRPr="00C27B3E">
        <w:rPr>
          <w:rFonts w:ascii="Times New Roman" w:hAnsi="Times New Roman" w:cs="Times New Roman"/>
          <w:sz w:val="24"/>
          <w:szCs w:val="24"/>
        </w:rPr>
        <w:t>The models developed in this study give us natural logarithms, log odds, and expected values of variables.   Model outputs must be transformed to compute effects. The transformations involve several steps.</w:t>
      </w:r>
    </w:p>
    <w:p w:rsidR="00C27B3E" w:rsidRPr="00C27B3E" w:rsidRDefault="00C27B3E" w:rsidP="000E075F">
      <w:pPr>
        <w:spacing w:after="0" w:line="480" w:lineRule="auto"/>
        <w:ind w:firstLine="720"/>
        <w:rPr>
          <w:rFonts w:ascii="Times New Roman" w:hAnsi="Times New Roman" w:cs="Times New Roman"/>
          <w:sz w:val="24"/>
          <w:szCs w:val="24"/>
        </w:rPr>
      </w:pPr>
      <w:r w:rsidRPr="00C27B3E">
        <w:rPr>
          <w:rFonts w:ascii="Times New Roman" w:hAnsi="Times New Roman" w:cs="Times New Roman"/>
          <w:sz w:val="24"/>
          <w:szCs w:val="24"/>
        </w:rPr>
        <w:t>For example, for transit trips, t</w:t>
      </w:r>
      <w:r>
        <w:rPr>
          <w:rFonts w:ascii="Times New Roman" w:hAnsi="Times New Roman" w:cs="Times New Roman"/>
          <w:sz w:val="24"/>
          <w:szCs w:val="24"/>
        </w:rPr>
        <w:t>he logistic equation in Table 6</w:t>
      </w:r>
      <w:r w:rsidRPr="00C27B3E">
        <w:rPr>
          <w:rFonts w:ascii="Times New Roman" w:hAnsi="Times New Roman" w:cs="Times New Roman"/>
          <w:sz w:val="24"/>
          <w:szCs w:val="24"/>
        </w:rPr>
        <w:t xml:space="preserve"> allows us to compute the odds of any transit trips by exponentiating the log odds, and then to compute the probability of any transit trips with the formula for the probability in terms of the odds.  </w:t>
      </w:r>
    </w:p>
    <w:p w:rsidR="00C27B3E" w:rsidRPr="00C27B3E" w:rsidRDefault="00C27B3E" w:rsidP="00C27B3E">
      <w:pPr>
        <w:spacing w:line="480" w:lineRule="auto"/>
        <w:rPr>
          <w:rFonts w:ascii="Times New Roman" w:hAnsi="Times New Roman" w:cs="Times New Roman"/>
          <w:i/>
          <w:sz w:val="24"/>
          <w:szCs w:val="24"/>
        </w:rPr>
      </w:pPr>
      <w:r w:rsidRPr="00C27B3E">
        <w:rPr>
          <w:rFonts w:ascii="Times New Roman" w:hAnsi="Times New Roman" w:cs="Times New Roman"/>
          <w:sz w:val="24"/>
          <w:szCs w:val="24"/>
        </w:rPr>
        <w:tab/>
      </w:r>
      <w:r w:rsidRPr="00C27B3E">
        <w:rPr>
          <w:rFonts w:ascii="Times New Roman" w:hAnsi="Times New Roman" w:cs="Times New Roman"/>
          <w:i/>
          <w:sz w:val="24"/>
          <w:szCs w:val="24"/>
        </w:rPr>
        <w:t>Odds of any transit trips = exp (log odds any transit trips)</w:t>
      </w:r>
    </w:p>
    <w:p w:rsidR="00C27B3E" w:rsidRPr="00C27B3E" w:rsidRDefault="00C27B3E" w:rsidP="00C27B3E">
      <w:pPr>
        <w:spacing w:line="480" w:lineRule="auto"/>
        <w:ind w:left="720"/>
        <w:rPr>
          <w:rFonts w:ascii="Times New Roman" w:hAnsi="Times New Roman" w:cs="Times New Roman"/>
          <w:i/>
          <w:sz w:val="24"/>
          <w:szCs w:val="24"/>
        </w:rPr>
      </w:pPr>
      <w:r w:rsidRPr="00C27B3E">
        <w:rPr>
          <w:rFonts w:ascii="Times New Roman" w:hAnsi="Times New Roman" w:cs="Times New Roman"/>
          <w:i/>
          <w:sz w:val="24"/>
          <w:szCs w:val="24"/>
        </w:rPr>
        <w:t>probability of any transit trips = odds of any transit trips/(1 + odds of any transit trips)</w:t>
      </w:r>
    </w:p>
    <w:p w:rsidR="00C27B3E" w:rsidRPr="00C27B3E" w:rsidRDefault="00C27B3E" w:rsidP="000E075F">
      <w:pPr>
        <w:spacing w:line="480" w:lineRule="auto"/>
        <w:ind w:firstLine="720"/>
        <w:rPr>
          <w:rFonts w:ascii="Times New Roman" w:hAnsi="Times New Roman" w:cs="Times New Roman"/>
          <w:sz w:val="24"/>
          <w:szCs w:val="24"/>
        </w:rPr>
      </w:pPr>
      <w:r w:rsidRPr="00C27B3E">
        <w:rPr>
          <w:rFonts w:ascii="Times New Roman" w:hAnsi="Times New Roman" w:cs="Times New Roman"/>
          <w:sz w:val="24"/>
          <w:szCs w:val="24"/>
        </w:rPr>
        <w:t>From the negati</w:t>
      </w:r>
      <w:r>
        <w:rPr>
          <w:rFonts w:ascii="Times New Roman" w:hAnsi="Times New Roman" w:cs="Times New Roman"/>
          <w:sz w:val="24"/>
          <w:szCs w:val="24"/>
        </w:rPr>
        <w:t>ve binomial equation in Table 7</w:t>
      </w:r>
      <w:r w:rsidRPr="00C27B3E">
        <w:rPr>
          <w:rFonts w:ascii="Times New Roman" w:hAnsi="Times New Roman" w:cs="Times New Roman"/>
          <w:sz w:val="24"/>
          <w:szCs w:val="24"/>
        </w:rPr>
        <w:t>, we next compute the expected number of transit trips for households with any transit trips, again, by exponentiating:</w:t>
      </w:r>
    </w:p>
    <w:p w:rsidR="00C27B3E" w:rsidRPr="00C27B3E" w:rsidRDefault="00C27B3E" w:rsidP="00C27B3E">
      <w:pPr>
        <w:spacing w:line="480" w:lineRule="auto"/>
        <w:ind w:left="720"/>
        <w:rPr>
          <w:rFonts w:ascii="Times New Roman" w:hAnsi="Times New Roman" w:cs="Times New Roman"/>
          <w:i/>
          <w:sz w:val="24"/>
          <w:szCs w:val="24"/>
        </w:rPr>
      </w:pPr>
      <w:r w:rsidRPr="00C27B3E">
        <w:rPr>
          <w:rFonts w:ascii="Times New Roman" w:hAnsi="Times New Roman" w:cs="Times New Roman"/>
          <w:i/>
          <w:sz w:val="24"/>
          <w:szCs w:val="24"/>
        </w:rPr>
        <w:t>number of transit trips (for households with transit trips) = exp (log of expected number of transit trips)</w:t>
      </w:r>
    </w:p>
    <w:p w:rsidR="00C27B3E" w:rsidRPr="00C27B3E" w:rsidRDefault="00C27B3E" w:rsidP="000E075F">
      <w:pPr>
        <w:spacing w:line="480" w:lineRule="auto"/>
        <w:ind w:firstLine="720"/>
        <w:rPr>
          <w:rFonts w:ascii="Times New Roman" w:hAnsi="Times New Roman" w:cs="Times New Roman"/>
          <w:sz w:val="24"/>
          <w:szCs w:val="24"/>
        </w:rPr>
      </w:pPr>
      <w:r w:rsidRPr="00C27B3E">
        <w:rPr>
          <w:rFonts w:ascii="Times New Roman" w:hAnsi="Times New Roman" w:cs="Times New Roman"/>
          <w:sz w:val="24"/>
          <w:szCs w:val="24"/>
        </w:rPr>
        <w:t>The expected number of transit trips for all households is just the product of the two.</w:t>
      </w:r>
    </w:p>
    <w:p w:rsidR="00C27B3E" w:rsidRPr="00C27B3E" w:rsidRDefault="00C27B3E" w:rsidP="00C27B3E">
      <w:pPr>
        <w:spacing w:line="480" w:lineRule="auto"/>
        <w:ind w:left="720"/>
        <w:rPr>
          <w:rFonts w:ascii="Times New Roman" w:hAnsi="Times New Roman" w:cs="Times New Roman"/>
          <w:i/>
          <w:sz w:val="24"/>
          <w:szCs w:val="24"/>
        </w:rPr>
      </w:pPr>
      <w:r w:rsidRPr="00C27B3E">
        <w:rPr>
          <w:rFonts w:ascii="Times New Roman" w:hAnsi="Times New Roman" w:cs="Times New Roman"/>
          <w:i/>
          <w:sz w:val="24"/>
          <w:szCs w:val="24"/>
        </w:rPr>
        <w:t>Number of transit trips (for all households) = probability of any transit trips x number of transit trips (for households with transit trips)</w:t>
      </w:r>
    </w:p>
    <w:p w:rsidR="00C27B3E" w:rsidRPr="007679B2" w:rsidRDefault="001E1760" w:rsidP="000E075F">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We followed the same procedure to predict VMT per household.</w:t>
      </w:r>
    </w:p>
    <w:p w:rsidR="00763834" w:rsidRPr="00763834" w:rsidRDefault="00763834" w:rsidP="00C65520">
      <w:pPr>
        <w:pStyle w:val="Heading3"/>
        <w:spacing w:line="480" w:lineRule="auto"/>
        <w:rPr>
          <w:rFonts w:eastAsia="Calibri"/>
        </w:rPr>
      </w:pPr>
      <w:r w:rsidRPr="00763834">
        <w:rPr>
          <w:rFonts w:eastAsia="Calibri"/>
        </w:rPr>
        <w:lastRenderedPageBreak/>
        <w:t>Cost Calculations</w:t>
      </w:r>
    </w:p>
    <w:p w:rsidR="00FB663A" w:rsidRDefault="00FB663A" w:rsidP="00C65520">
      <w:pPr>
        <w:spacing w:after="0" w:line="480" w:lineRule="auto"/>
        <w:rPr>
          <w:rFonts w:ascii="Times New Roman" w:eastAsia="Calibri" w:hAnsi="Times New Roman" w:cs="Times New Roman"/>
          <w:sz w:val="24"/>
        </w:rPr>
      </w:pPr>
      <w:r>
        <w:rPr>
          <w:rFonts w:ascii="Times New Roman" w:eastAsia="Calibri" w:hAnsi="Times New Roman" w:cs="Times New Roman"/>
          <w:sz w:val="24"/>
        </w:rPr>
        <w:t>Transportation costs consist of vehicle costs (household’s expenses to own and use private vehicles) and public transit costs (transit fares). Vehicle costs are divided into fixed and variable costs. Fixed or ownership costs are not generally affected by the amount a vehicle is driven</w:t>
      </w:r>
      <w:r w:rsidR="008552A6">
        <w:rPr>
          <w:rFonts w:ascii="Times New Roman" w:eastAsia="Calibri" w:hAnsi="Times New Roman" w:cs="Times New Roman"/>
          <w:sz w:val="24"/>
        </w:rPr>
        <w:t xml:space="preserve">. </w:t>
      </w:r>
      <w:r w:rsidR="008552A6" w:rsidRPr="008552A6">
        <w:rPr>
          <w:rFonts w:ascii="Times New Roman" w:eastAsia="Calibri" w:hAnsi="Times New Roman" w:cs="Times New Roman"/>
          <w:sz w:val="24"/>
        </w:rPr>
        <w:t>Depreciation, insurance, and registration fees are considered fixed.</w:t>
      </w:r>
      <w:r w:rsidR="008552A6">
        <w:rPr>
          <w:rFonts w:ascii="Times New Roman" w:eastAsia="Calibri" w:hAnsi="Times New Roman" w:cs="Times New Roman"/>
          <w:sz w:val="24"/>
        </w:rPr>
        <w:t xml:space="preserve"> V</w:t>
      </w:r>
      <w:r>
        <w:rPr>
          <w:rFonts w:ascii="Times New Roman" w:eastAsia="Calibri" w:hAnsi="Times New Roman" w:cs="Times New Roman"/>
          <w:sz w:val="24"/>
        </w:rPr>
        <w:t xml:space="preserve">ariable costs </w:t>
      </w:r>
      <w:r w:rsidR="008552A6">
        <w:rPr>
          <w:rFonts w:ascii="Times New Roman" w:eastAsia="Calibri" w:hAnsi="Times New Roman" w:cs="Times New Roman"/>
          <w:sz w:val="24"/>
        </w:rPr>
        <w:t xml:space="preserve">are </w:t>
      </w:r>
      <w:r w:rsidR="008552A6" w:rsidRPr="008552A6">
        <w:rPr>
          <w:rFonts w:ascii="Times New Roman" w:eastAsia="Calibri" w:hAnsi="Times New Roman" w:cs="Times New Roman"/>
          <w:sz w:val="24"/>
        </w:rPr>
        <w:t>the incremental costs</w:t>
      </w:r>
      <w:r w:rsidR="008552A6">
        <w:rPr>
          <w:rFonts w:ascii="Times New Roman" w:eastAsia="Calibri" w:hAnsi="Times New Roman" w:cs="Times New Roman"/>
          <w:sz w:val="24"/>
        </w:rPr>
        <w:t xml:space="preserve"> which </w:t>
      </w:r>
      <w:r>
        <w:rPr>
          <w:rFonts w:ascii="Times New Roman" w:eastAsia="Calibri" w:hAnsi="Times New Roman" w:cs="Times New Roman"/>
          <w:sz w:val="24"/>
        </w:rPr>
        <w:t xml:space="preserve">increase with vehicle mileage. </w:t>
      </w:r>
      <w:r w:rsidR="008552A6">
        <w:rPr>
          <w:rFonts w:ascii="Times New Roman" w:eastAsia="Calibri" w:hAnsi="Times New Roman" w:cs="Times New Roman"/>
          <w:sz w:val="24"/>
        </w:rPr>
        <w:t xml:space="preserve">Fuel </w:t>
      </w:r>
      <w:r w:rsidR="006C5986">
        <w:rPr>
          <w:rFonts w:ascii="Times New Roman" w:eastAsia="Calibri" w:hAnsi="Times New Roman" w:cs="Times New Roman"/>
          <w:sz w:val="24"/>
        </w:rPr>
        <w:t>is a</w:t>
      </w:r>
      <w:r w:rsidRPr="00FB663A">
        <w:rPr>
          <w:rFonts w:ascii="Times New Roman" w:eastAsia="Calibri" w:hAnsi="Times New Roman" w:cs="Times New Roman"/>
          <w:sz w:val="24"/>
        </w:rPr>
        <w:t xml:space="preserve"> variable </w:t>
      </w:r>
      <w:r w:rsidR="008552A6" w:rsidRPr="00FB663A">
        <w:rPr>
          <w:rFonts w:ascii="Times New Roman" w:eastAsia="Calibri" w:hAnsi="Times New Roman" w:cs="Times New Roman"/>
          <w:sz w:val="24"/>
        </w:rPr>
        <w:t>vehicle</w:t>
      </w:r>
      <w:r w:rsidRPr="00FB663A">
        <w:rPr>
          <w:rFonts w:ascii="Times New Roman" w:eastAsia="Calibri" w:hAnsi="Times New Roman" w:cs="Times New Roman"/>
          <w:sz w:val="24"/>
        </w:rPr>
        <w:t xml:space="preserve"> cost</w:t>
      </w:r>
      <w:r w:rsidR="00722EAA">
        <w:rPr>
          <w:rFonts w:ascii="Times New Roman" w:eastAsia="Calibri" w:hAnsi="Times New Roman" w:cs="Times New Roman"/>
          <w:sz w:val="24"/>
        </w:rPr>
        <w:t xml:space="preserve">; </w:t>
      </w:r>
      <w:r w:rsidR="006C5986">
        <w:rPr>
          <w:rFonts w:ascii="Times New Roman" w:eastAsia="Calibri" w:hAnsi="Times New Roman" w:cs="Times New Roman"/>
          <w:sz w:val="24"/>
        </w:rPr>
        <w:t>it is proportional to</w:t>
      </w:r>
      <w:r w:rsidR="00722EAA">
        <w:rPr>
          <w:rFonts w:ascii="Times New Roman" w:eastAsia="Calibri" w:hAnsi="Times New Roman" w:cs="Times New Roman"/>
          <w:sz w:val="24"/>
        </w:rPr>
        <w:t xml:space="preserve"> mileage</w:t>
      </w:r>
      <w:r w:rsidR="008552A6">
        <w:rPr>
          <w:rFonts w:ascii="Times New Roman" w:eastAsia="Calibri" w:hAnsi="Times New Roman" w:cs="Times New Roman"/>
          <w:sz w:val="24"/>
        </w:rPr>
        <w:t xml:space="preserve"> </w:t>
      </w:r>
      <w:r>
        <w:rPr>
          <w:rFonts w:ascii="Times New Roman" w:eastAsia="Calibri" w:hAnsi="Times New Roman" w:cs="Times New Roman"/>
          <w:sz w:val="24"/>
        </w:rPr>
        <w:t>(</w:t>
      </w:r>
      <w:r w:rsidR="008552A6">
        <w:rPr>
          <w:rFonts w:ascii="Times New Roman" w:eastAsia="Calibri" w:hAnsi="Times New Roman" w:cs="Times New Roman"/>
          <w:sz w:val="24"/>
        </w:rPr>
        <w:t>Litman 2009).</w:t>
      </w:r>
    </w:p>
    <w:p w:rsidR="00751FB0" w:rsidRDefault="00722EAA" w:rsidP="00C65520">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We </w:t>
      </w:r>
      <w:r w:rsidRPr="00722EAA">
        <w:rPr>
          <w:rFonts w:ascii="Times New Roman" w:eastAsia="Calibri" w:hAnsi="Times New Roman" w:cs="Times New Roman"/>
          <w:sz w:val="24"/>
        </w:rPr>
        <w:t>computed</w:t>
      </w:r>
      <w:r w:rsidR="000F23E7">
        <w:rPr>
          <w:rFonts w:ascii="Times New Roman" w:eastAsia="Calibri" w:hAnsi="Times New Roman" w:cs="Times New Roman"/>
          <w:sz w:val="24"/>
        </w:rPr>
        <w:t xml:space="preserve"> vehicle fixed costs based on our household vehicle ownership model and the average cost of car ownership specific to </w:t>
      </w:r>
      <w:r w:rsidR="006C5986">
        <w:rPr>
          <w:rFonts w:ascii="Times New Roman" w:eastAsia="Calibri" w:hAnsi="Times New Roman" w:cs="Times New Roman"/>
          <w:sz w:val="24"/>
        </w:rPr>
        <w:t xml:space="preserve">the </w:t>
      </w:r>
      <w:r w:rsidR="000F23E7">
        <w:rPr>
          <w:rFonts w:ascii="Times New Roman" w:eastAsia="Calibri" w:hAnsi="Times New Roman" w:cs="Times New Roman"/>
          <w:sz w:val="24"/>
        </w:rPr>
        <w:t xml:space="preserve">most popular cars for low income households and also specific to the states which </w:t>
      </w:r>
      <w:r w:rsidR="000F23E7" w:rsidRPr="000F23E7">
        <w:rPr>
          <w:rFonts w:ascii="Times New Roman" w:eastAsia="Calibri" w:hAnsi="Times New Roman" w:cs="Times New Roman"/>
          <w:sz w:val="24"/>
        </w:rPr>
        <w:t>HUD rental assistance properties are located</w:t>
      </w:r>
      <w:r w:rsidR="000F23E7">
        <w:rPr>
          <w:rFonts w:ascii="Times New Roman" w:eastAsia="Calibri" w:hAnsi="Times New Roman" w:cs="Times New Roman"/>
          <w:sz w:val="24"/>
        </w:rPr>
        <w:t xml:space="preserve">. Our average car ownership </w:t>
      </w:r>
      <w:r w:rsidR="00FE72E4">
        <w:rPr>
          <w:rFonts w:ascii="Times New Roman" w:eastAsia="Calibri" w:hAnsi="Times New Roman" w:cs="Times New Roman"/>
          <w:sz w:val="24"/>
        </w:rPr>
        <w:t>costs are based on a car ownership costs calculator called True Cost to Own®</w:t>
      </w:r>
      <w:r w:rsidR="00C65520">
        <w:rPr>
          <w:rStyle w:val="EndnoteReference"/>
          <w:rFonts w:ascii="Times New Roman" w:eastAsia="Calibri" w:hAnsi="Times New Roman" w:cs="Times New Roman"/>
          <w:sz w:val="24"/>
        </w:rPr>
        <w:endnoteReference w:id="2"/>
      </w:r>
      <w:r w:rsidR="00C65520">
        <w:rPr>
          <w:rFonts w:ascii="Times New Roman" w:eastAsia="Calibri" w:hAnsi="Times New Roman" w:cs="Times New Roman"/>
          <w:sz w:val="24"/>
        </w:rPr>
        <w:t xml:space="preserve"> </w:t>
      </w:r>
      <w:r w:rsidR="00FE72E4" w:rsidRPr="00FE72E4">
        <w:rPr>
          <w:rFonts w:ascii="Times New Roman" w:eastAsia="Calibri" w:hAnsi="Times New Roman" w:cs="Times New Roman"/>
          <w:sz w:val="24"/>
        </w:rPr>
        <w:t>pricing (TCO®) system</w:t>
      </w:r>
      <w:r w:rsidR="00FE72E4">
        <w:rPr>
          <w:rFonts w:ascii="Times New Roman" w:eastAsia="Calibri" w:hAnsi="Times New Roman" w:cs="Times New Roman"/>
          <w:sz w:val="24"/>
        </w:rPr>
        <w:t xml:space="preserve"> developed by Edmunds Inc. </w:t>
      </w:r>
      <w:r w:rsidR="00FE72E4" w:rsidRPr="00FE72E4">
        <w:rPr>
          <w:rFonts w:ascii="Times New Roman" w:eastAsia="Calibri" w:hAnsi="Times New Roman" w:cs="Times New Roman"/>
          <w:sz w:val="24"/>
        </w:rPr>
        <w:t xml:space="preserve">The components of TCO® are depreciation, interest on financing, taxes and fees, insurance premiums, fuel, maintenance, repairs and any federal tax credit that may be available. In </w:t>
      </w:r>
      <w:r w:rsidR="00751FB0">
        <w:rPr>
          <w:rFonts w:ascii="Times New Roman" w:eastAsia="Calibri" w:hAnsi="Times New Roman" w:cs="Times New Roman"/>
          <w:sz w:val="24"/>
        </w:rPr>
        <w:t>this paper we used all categories but</w:t>
      </w:r>
      <w:r w:rsidR="00FE72E4" w:rsidRPr="00FE72E4">
        <w:rPr>
          <w:rFonts w:ascii="Times New Roman" w:eastAsia="Calibri" w:hAnsi="Times New Roman" w:cs="Times New Roman"/>
          <w:sz w:val="24"/>
        </w:rPr>
        <w:t xml:space="preserve"> fuel because we treat </w:t>
      </w:r>
      <w:r w:rsidR="006C5986">
        <w:rPr>
          <w:rFonts w:ascii="Times New Roman" w:eastAsia="Calibri" w:hAnsi="Times New Roman" w:cs="Times New Roman"/>
          <w:sz w:val="24"/>
        </w:rPr>
        <w:t>fuel as a variable vehicle cost</w:t>
      </w:r>
      <w:r w:rsidR="00FE72E4" w:rsidRPr="00FE72E4">
        <w:rPr>
          <w:rFonts w:ascii="Times New Roman" w:eastAsia="Calibri" w:hAnsi="Times New Roman" w:cs="Times New Roman"/>
          <w:sz w:val="24"/>
        </w:rPr>
        <w:t xml:space="preserve">.  </w:t>
      </w:r>
      <w:r w:rsidR="00751FB0">
        <w:rPr>
          <w:rFonts w:ascii="Times New Roman" w:eastAsia="Calibri" w:hAnsi="Times New Roman" w:cs="Times New Roman"/>
          <w:sz w:val="24"/>
        </w:rPr>
        <w:t xml:space="preserve">Since some costs often </w:t>
      </w:r>
      <w:r w:rsidR="00751FB0" w:rsidRPr="00751FB0">
        <w:rPr>
          <w:rFonts w:ascii="Times New Roman" w:eastAsia="Calibri" w:hAnsi="Times New Roman" w:cs="Times New Roman"/>
          <w:sz w:val="24"/>
        </w:rPr>
        <w:t xml:space="preserve">categorized as fixed, such as depreciation and insurance, </w:t>
      </w:r>
      <w:r w:rsidR="00751FB0">
        <w:rPr>
          <w:rFonts w:ascii="Times New Roman" w:eastAsia="Calibri" w:hAnsi="Times New Roman" w:cs="Times New Roman"/>
          <w:sz w:val="24"/>
        </w:rPr>
        <w:t xml:space="preserve">are not totally fixed and </w:t>
      </w:r>
      <w:r w:rsidR="00751FB0" w:rsidRPr="00751FB0">
        <w:rPr>
          <w:rFonts w:ascii="Times New Roman" w:eastAsia="Calibri" w:hAnsi="Times New Roman" w:cs="Times New Roman"/>
          <w:sz w:val="24"/>
        </w:rPr>
        <w:t>actually increase with vehicle mileage</w:t>
      </w:r>
      <w:r w:rsidR="00FE72E4">
        <w:rPr>
          <w:rFonts w:ascii="Times New Roman" w:eastAsia="Calibri" w:hAnsi="Times New Roman" w:cs="Times New Roman"/>
          <w:sz w:val="24"/>
        </w:rPr>
        <w:t xml:space="preserve">, </w:t>
      </w:r>
      <w:r w:rsidR="00751FB0" w:rsidRPr="00751FB0">
        <w:rPr>
          <w:rFonts w:ascii="Times New Roman" w:eastAsia="Calibri" w:hAnsi="Times New Roman" w:cs="Times New Roman"/>
          <w:sz w:val="24"/>
        </w:rPr>
        <w:t>TCO®</w:t>
      </w:r>
      <w:r w:rsidR="00FE72E4" w:rsidRPr="00FE72E4">
        <w:rPr>
          <w:rFonts w:ascii="Times New Roman" w:eastAsia="Calibri" w:hAnsi="Times New Roman" w:cs="Times New Roman"/>
          <w:sz w:val="24"/>
        </w:rPr>
        <w:t xml:space="preserve"> assume</w:t>
      </w:r>
      <w:r w:rsidR="00FE72E4">
        <w:rPr>
          <w:rFonts w:ascii="Times New Roman" w:eastAsia="Calibri" w:hAnsi="Times New Roman" w:cs="Times New Roman"/>
          <w:sz w:val="24"/>
        </w:rPr>
        <w:t>s</w:t>
      </w:r>
      <w:r w:rsidR="00FE72E4" w:rsidRPr="00FE72E4">
        <w:rPr>
          <w:rFonts w:ascii="Times New Roman" w:eastAsia="Calibri" w:hAnsi="Times New Roman" w:cs="Times New Roman"/>
          <w:sz w:val="24"/>
        </w:rPr>
        <w:t xml:space="preserve"> that vehicles will be driven 15,000 miles per year.</w:t>
      </w:r>
      <w:r w:rsidR="00751FB0">
        <w:rPr>
          <w:rFonts w:ascii="Times New Roman" w:eastAsia="Calibri" w:hAnsi="Times New Roman" w:cs="Times New Roman"/>
          <w:sz w:val="24"/>
        </w:rPr>
        <w:t xml:space="preserve"> </w:t>
      </w:r>
      <w:r w:rsidR="00751FB0" w:rsidRPr="00751FB0">
        <w:rPr>
          <w:rFonts w:ascii="Times New Roman" w:eastAsia="Calibri" w:hAnsi="Times New Roman" w:cs="Times New Roman"/>
          <w:sz w:val="24"/>
        </w:rPr>
        <w:t>TCO® calculated the costs of driving for cars made after 2009.</w:t>
      </w:r>
    </w:p>
    <w:p w:rsidR="007679B2" w:rsidRDefault="00FE72E4" w:rsidP="00C65520">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 </w:t>
      </w:r>
      <w:r w:rsidRPr="00FE72E4">
        <w:rPr>
          <w:rFonts w:ascii="Times New Roman" w:eastAsia="Calibri" w:hAnsi="Times New Roman" w:cs="Times New Roman"/>
          <w:sz w:val="24"/>
        </w:rPr>
        <w:t>TCO®</w:t>
      </w:r>
      <w:r>
        <w:rPr>
          <w:rFonts w:ascii="Times New Roman" w:eastAsia="Calibri" w:hAnsi="Times New Roman" w:cs="Times New Roman"/>
          <w:sz w:val="24"/>
        </w:rPr>
        <w:t xml:space="preserve"> values are specific to the states and also to the vehicle’s make, model</w:t>
      </w:r>
      <w:r w:rsidR="00751FB0">
        <w:rPr>
          <w:rFonts w:ascii="Times New Roman" w:eastAsia="Calibri" w:hAnsi="Times New Roman" w:cs="Times New Roman"/>
          <w:sz w:val="24"/>
        </w:rPr>
        <w:t xml:space="preserve"> and the year. We were interested in costs for the most popular vehicles’ model and make for low income households.</w:t>
      </w:r>
      <w:r w:rsidR="00751FB0" w:rsidRPr="00751FB0">
        <w:t xml:space="preserve"> </w:t>
      </w:r>
      <w:r w:rsidR="00751FB0">
        <w:rPr>
          <w:rFonts w:ascii="Times New Roman" w:eastAsia="Calibri" w:hAnsi="Times New Roman" w:cs="Times New Roman"/>
          <w:sz w:val="24"/>
        </w:rPr>
        <w:t xml:space="preserve">Therefore, we created a sample of low income households from the National Household Travel Database (NHTS) based on </w:t>
      </w:r>
      <w:r w:rsidR="00751FB0" w:rsidRPr="00751FB0">
        <w:rPr>
          <w:rFonts w:ascii="Times New Roman" w:eastAsia="Calibri" w:hAnsi="Times New Roman" w:cs="Times New Roman"/>
          <w:sz w:val="24"/>
        </w:rPr>
        <w:t>the HUD low income standard</w:t>
      </w:r>
      <w:r w:rsidR="00751FB0">
        <w:rPr>
          <w:rFonts w:ascii="Times New Roman" w:eastAsia="Calibri" w:hAnsi="Times New Roman" w:cs="Times New Roman"/>
          <w:sz w:val="24"/>
        </w:rPr>
        <w:t xml:space="preserve"> and identified the 15 most popular vehicles owned by households in this sample. </w:t>
      </w:r>
      <w:r w:rsidR="009A585B">
        <w:rPr>
          <w:rFonts w:ascii="Times New Roman" w:eastAsia="Calibri" w:hAnsi="Times New Roman" w:cs="Times New Roman"/>
          <w:sz w:val="24"/>
        </w:rPr>
        <w:t xml:space="preserve">These vehicles account for more </w:t>
      </w:r>
      <w:r w:rsidR="009A585B">
        <w:rPr>
          <w:rFonts w:ascii="Times New Roman" w:eastAsia="Calibri" w:hAnsi="Times New Roman" w:cs="Times New Roman"/>
          <w:sz w:val="24"/>
        </w:rPr>
        <w:lastRenderedPageBreak/>
        <w:t xml:space="preserve">than 34 percent of vehicles owned by low income households in the NHTS database. </w:t>
      </w:r>
      <w:r w:rsidR="00751FB0">
        <w:rPr>
          <w:rFonts w:ascii="Times New Roman" w:eastAsia="Calibri" w:hAnsi="Times New Roman" w:cs="Times New Roman"/>
          <w:sz w:val="24"/>
        </w:rPr>
        <w:t>The most popular vehicle is Ford F-series Pick Up, followed by Chevrolet Silverado, Toyota Camry and Honda Accord</w:t>
      </w:r>
      <w:r w:rsidR="008B59C3">
        <w:rPr>
          <w:rFonts w:ascii="Times New Roman" w:eastAsia="Calibri" w:hAnsi="Times New Roman" w:cs="Times New Roman"/>
          <w:sz w:val="24"/>
        </w:rPr>
        <w:t xml:space="preserve"> (see Table. 8)</w:t>
      </w:r>
      <w:r w:rsidR="00751FB0">
        <w:rPr>
          <w:rFonts w:ascii="Times New Roman" w:eastAsia="Calibri" w:hAnsi="Times New Roman" w:cs="Times New Roman"/>
          <w:sz w:val="24"/>
        </w:rPr>
        <w:t xml:space="preserve">. </w:t>
      </w:r>
      <w:r w:rsidR="009A585B">
        <w:rPr>
          <w:rFonts w:ascii="Times New Roman" w:eastAsia="Calibri" w:hAnsi="Times New Roman" w:cs="Times New Roman"/>
          <w:sz w:val="24"/>
        </w:rPr>
        <w:t xml:space="preserve">We </w:t>
      </w:r>
      <w:r w:rsidR="009A585B" w:rsidRPr="009A585B">
        <w:rPr>
          <w:rFonts w:ascii="Times New Roman" w:eastAsia="Calibri" w:hAnsi="Times New Roman" w:cs="Times New Roman"/>
          <w:sz w:val="24"/>
        </w:rPr>
        <w:t>acquired</w:t>
      </w:r>
      <w:r w:rsidR="009A585B">
        <w:rPr>
          <w:rFonts w:ascii="Times New Roman" w:eastAsia="Calibri" w:hAnsi="Times New Roman" w:cs="Times New Roman"/>
          <w:sz w:val="24"/>
        </w:rPr>
        <w:t xml:space="preserve">, for each state, the five year average costs of car ownership for these 15 vehicles for the earliest year (2009) reported by the </w:t>
      </w:r>
      <w:r w:rsidR="009A585B" w:rsidRPr="009A585B">
        <w:rPr>
          <w:rFonts w:ascii="Times New Roman" w:eastAsia="Calibri" w:hAnsi="Times New Roman" w:cs="Times New Roman"/>
          <w:sz w:val="24"/>
        </w:rPr>
        <w:t>TCO®</w:t>
      </w:r>
      <w:r w:rsidR="009A585B">
        <w:rPr>
          <w:rFonts w:ascii="Times New Roman" w:eastAsia="Calibri" w:hAnsi="Times New Roman" w:cs="Times New Roman"/>
          <w:sz w:val="24"/>
        </w:rPr>
        <w:t xml:space="preserve"> since, according to the NHTS database, low income households tend to buy and own older cars. We then weighted the five year average costs by the popularity of eac</w:t>
      </w:r>
      <w:r w:rsidR="006C5986">
        <w:rPr>
          <w:rFonts w:ascii="Times New Roman" w:eastAsia="Calibri" w:hAnsi="Times New Roman" w:cs="Times New Roman"/>
          <w:sz w:val="24"/>
        </w:rPr>
        <w:t>h make and model for low income households</w:t>
      </w:r>
      <w:r w:rsidR="009A585B">
        <w:rPr>
          <w:rFonts w:ascii="Times New Roman" w:eastAsia="Calibri" w:hAnsi="Times New Roman" w:cs="Times New Roman"/>
          <w:sz w:val="24"/>
        </w:rPr>
        <w:t xml:space="preserve"> </w:t>
      </w:r>
      <w:r w:rsidR="00A52D48">
        <w:rPr>
          <w:rFonts w:ascii="Times New Roman" w:eastAsia="Calibri" w:hAnsi="Times New Roman" w:cs="Times New Roman"/>
          <w:sz w:val="24"/>
        </w:rPr>
        <w:t xml:space="preserve">in the NHTS database </w:t>
      </w:r>
      <w:r w:rsidR="009A585B">
        <w:rPr>
          <w:rFonts w:ascii="Times New Roman" w:eastAsia="Calibri" w:hAnsi="Times New Roman" w:cs="Times New Roman"/>
          <w:sz w:val="24"/>
        </w:rPr>
        <w:t xml:space="preserve">to obtain the average vehicle ownership costs for low income households for each state. We </w:t>
      </w:r>
      <w:r w:rsidR="009A585B" w:rsidRPr="009A585B">
        <w:rPr>
          <w:rFonts w:ascii="Times New Roman" w:eastAsia="Calibri" w:hAnsi="Times New Roman" w:cs="Times New Roman"/>
          <w:sz w:val="24"/>
        </w:rPr>
        <w:t xml:space="preserve">multiplied </w:t>
      </w:r>
      <w:r w:rsidR="006C5986">
        <w:rPr>
          <w:rFonts w:ascii="Times New Roman" w:eastAsia="Calibri" w:hAnsi="Times New Roman" w:cs="Times New Roman"/>
          <w:sz w:val="24"/>
        </w:rPr>
        <w:t>this by the predic</w:t>
      </w:r>
      <w:r w:rsidR="009A585B">
        <w:rPr>
          <w:rFonts w:ascii="Times New Roman" w:eastAsia="Calibri" w:hAnsi="Times New Roman" w:cs="Times New Roman"/>
          <w:sz w:val="24"/>
        </w:rPr>
        <w:t>ted number of cars owned by a household</w:t>
      </w:r>
      <w:r w:rsidR="009A585B" w:rsidRPr="009A585B">
        <w:rPr>
          <w:rFonts w:ascii="Times New Roman" w:eastAsia="Calibri" w:hAnsi="Times New Roman" w:cs="Times New Roman"/>
          <w:sz w:val="24"/>
        </w:rPr>
        <w:t xml:space="preserve"> to </w:t>
      </w:r>
      <w:r w:rsidR="009A585B">
        <w:rPr>
          <w:rFonts w:ascii="Times New Roman" w:eastAsia="Calibri" w:hAnsi="Times New Roman" w:cs="Times New Roman"/>
          <w:sz w:val="24"/>
        </w:rPr>
        <w:t>obtain the household’s ownership or fixed</w:t>
      </w:r>
      <w:r w:rsidR="009A585B" w:rsidRPr="009A585B">
        <w:rPr>
          <w:rFonts w:ascii="Times New Roman" w:eastAsia="Calibri" w:hAnsi="Times New Roman" w:cs="Times New Roman"/>
          <w:sz w:val="24"/>
        </w:rPr>
        <w:t xml:space="preserve"> vehicle costs.</w:t>
      </w:r>
    </w:p>
    <w:p w:rsidR="00C65520" w:rsidRPr="00C33192" w:rsidRDefault="00C33192" w:rsidP="00C33192">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Table 8 </w:t>
      </w:r>
      <w:r w:rsidRPr="00C33192">
        <w:rPr>
          <w:rFonts w:ascii="Times New Roman" w:hAnsi="Times New Roman" w:cs="Times New Roman"/>
          <w:sz w:val="24"/>
          <w:szCs w:val="24"/>
        </w:rPr>
        <w:t>about here]</w:t>
      </w:r>
    </w:p>
    <w:p w:rsidR="00AD37FF" w:rsidRDefault="00722EAA" w:rsidP="00C33192">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Second, w</w:t>
      </w:r>
      <w:r w:rsidR="008552A6">
        <w:rPr>
          <w:rFonts w:ascii="Times New Roman" w:eastAsia="Calibri" w:hAnsi="Times New Roman" w:cs="Times New Roman"/>
          <w:sz w:val="24"/>
        </w:rPr>
        <w:t xml:space="preserve">e </w:t>
      </w:r>
      <w:r w:rsidR="00763834" w:rsidRPr="00763834">
        <w:rPr>
          <w:rFonts w:ascii="Times New Roman" w:eastAsia="Calibri" w:hAnsi="Times New Roman" w:cs="Times New Roman"/>
          <w:sz w:val="24"/>
        </w:rPr>
        <w:t>compute</w:t>
      </w:r>
      <w:r>
        <w:rPr>
          <w:rFonts w:ascii="Times New Roman" w:eastAsia="Calibri" w:hAnsi="Times New Roman" w:cs="Times New Roman"/>
          <w:sz w:val="24"/>
        </w:rPr>
        <w:t>d</w:t>
      </w:r>
      <w:r w:rsidR="000F23E7">
        <w:rPr>
          <w:rFonts w:ascii="Times New Roman" w:eastAsia="Calibri" w:hAnsi="Times New Roman" w:cs="Times New Roman"/>
          <w:sz w:val="24"/>
        </w:rPr>
        <w:t xml:space="preserve"> auto operating costs based on our</w:t>
      </w:r>
      <w:r w:rsidR="00763834" w:rsidRPr="00763834">
        <w:rPr>
          <w:rFonts w:ascii="Times New Roman" w:eastAsia="Calibri" w:hAnsi="Times New Roman" w:cs="Times New Roman"/>
          <w:sz w:val="24"/>
        </w:rPr>
        <w:t xml:space="preserve"> household VMT model calibrated with data for low-income households from</w:t>
      </w:r>
      <w:r w:rsidR="000F23E7">
        <w:rPr>
          <w:rFonts w:ascii="Times New Roman" w:eastAsia="Calibri" w:hAnsi="Times New Roman" w:cs="Times New Roman"/>
          <w:sz w:val="24"/>
        </w:rPr>
        <w:t xml:space="preserve"> 15</w:t>
      </w:r>
      <w:r w:rsidR="00763834" w:rsidRPr="00763834">
        <w:rPr>
          <w:rFonts w:ascii="Times New Roman" w:eastAsia="Calibri" w:hAnsi="Times New Roman" w:cs="Times New Roman"/>
          <w:sz w:val="24"/>
        </w:rPr>
        <w:t xml:space="preserve"> metropolitan regions and gasoline price data specific to the regions in which HUD rental assistance properties are located.  </w:t>
      </w:r>
      <w:r w:rsidR="008552A6">
        <w:rPr>
          <w:rFonts w:ascii="Times New Roman" w:eastAsia="Calibri" w:hAnsi="Times New Roman" w:cs="Times New Roman"/>
          <w:sz w:val="24"/>
        </w:rPr>
        <w:t xml:space="preserve">As </w:t>
      </w:r>
      <w:r w:rsidR="008B59C3">
        <w:rPr>
          <w:rFonts w:ascii="Times New Roman" w:eastAsia="Calibri" w:hAnsi="Times New Roman" w:cs="Times New Roman"/>
          <w:sz w:val="24"/>
        </w:rPr>
        <w:t>illustrated in Table 9</w:t>
      </w:r>
      <w:r w:rsidR="00763834" w:rsidRPr="00763834">
        <w:rPr>
          <w:rFonts w:ascii="Times New Roman" w:eastAsia="Calibri" w:hAnsi="Times New Roman" w:cs="Times New Roman"/>
          <w:sz w:val="24"/>
        </w:rPr>
        <w:t>, average gasoline prices vary greatly from reg</w:t>
      </w:r>
      <w:r w:rsidR="008552A6">
        <w:rPr>
          <w:rFonts w:ascii="Times New Roman" w:eastAsia="Calibri" w:hAnsi="Times New Roman" w:cs="Times New Roman"/>
          <w:sz w:val="24"/>
        </w:rPr>
        <w:t>ion to region. W</w:t>
      </w:r>
      <w:r w:rsidR="008552A6" w:rsidRPr="008552A6">
        <w:rPr>
          <w:rFonts w:ascii="Times New Roman" w:eastAsia="Calibri" w:hAnsi="Times New Roman" w:cs="Times New Roman"/>
          <w:sz w:val="24"/>
        </w:rPr>
        <w:t>e acquired metropolitan-level average gasoline prices for 2010 from the Oil Price Information Service (OPIS)</w:t>
      </w:r>
      <w:r w:rsidR="00751FB0">
        <w:rPr>
          <w:rFonts w:ascii="Times New Roman" w:eastAsia="Calibri" w:hAnsi="Times New Roman" w:cs="Times New Roman"/>
          <w:sz w:val="24"/>
        </w:rPr>
        <w:t>,</w:t>
      </w:r>
      <w:r w:rsidR="00751FB0" w:rsidRPr="00751FB0">
        <w:rPr>
          <w:rFonts w:ascii="Times New Roman" w:eastAsia="Calibri" w:hAnsi="Times New Roman" w:cs="Times New Roman"/>
          <w:sz w:val="24"/>
        </w:rPr>
        <w:t xml:space="preserve"> inflated </w:t>
      </w:r>
      <w:r w:rsidR="00751FB0">
        <w:rPr>
          <w:rFonts w:ascii="Times New Roman" w:eastAsia="Calibri" w:hAnsi="Times New Roman" w:cs="Times New Roman"/>
          <w:sz w:val="24"/>
        </w:rPr>
        <w:t xml:space="preserve">them </w:t>
      </w:r>
      <w:r w:rsidR="006C5986">
        <w:rPr>
          <w:rFonts w:ascii="Times New Roman" w:eastAsia="Calibri" w:hAnsi="Times New Roman" w:cs="Times New Roman"/>
          <w:sz w:val="24"/>
        </w:rPr>
        <w:t>to 2014</w:t>
      </w:r>
      <w:r w:rsidR="00751FB0" w:rsidRPr="00751FB0">
        <w:rPr>
          <w:rFonts w:ascii="Times New Roman" w:eastAsia="Calibri" w:hAnsi="Times New Roman" w:cs="Times New Roman"/>
          <w:sz w:val="24"/>
        </w:rPr>
        <w:t xml:space="preserve"> dollars </w:t>
      </w:r>
      <w:r>
        <w:rPr>
          <w:rFonts w:ascii="Times New Roman" w:eastAsia="Calibri" w:hAnsi="Times New Roman" w:cs="Times New Roman"/>
          <w:sz w:val="24"/>
        </w:rPr>
        <w:t>and</w:t>
      </w:r>
      <w:r w:rsidR="00763834" w:rsidRPr="00763834">
        <w:rPr>
          <w:rFonts w:ascii="Times New Roman" w:eastAsia="Calibri" w:hAnsi="Times New Roman" w:cs="Times New Roman"/>
          <w:sz w:val="24"/>
        </w:rPr>
        <w:t xml:space="preserve"> </w:t>
      </w:r>
      <w:r w:rsidR="008552A6">
        <w:rPr>
          <w:rFonts w:ascii="Times New Roman" w:eastAsia="Calibri" w:hAnsi="Times New Roman" w:cs="Times New Roman"/>
          <w:sz w:val="24"/>
        </w:rPr>
        <w:t xml:space="preserve">then multiplied the fuel costs </w:t>
      </w:r>
      <w:r w:rsidR="008552A6" w:rsidRPr="008552A6">
        <w:rPr>
          <w:rFonts w:ascii="Times New Roman" w:eastAsia="Calibri" w:hAnsi="Times New Roman" w:cs="Times New Roman"/>
          <w:sz w:val="24"/>
        </w:rPr>
        <w:t>per gallon</w:t>
      </w:r>
      <w:r w:rsidR="008552A6">
        <w:rPr>
          <w:rFonts w:ascii="Times New Roman" w:eastAsia="Calibri" w:hAnsi="Times New Roman" w:cs="Times New Roman"/>
          <w:sz w:val="24"/>
        </w:rPr>
        <w:t xml:space="preserve"> </w:t>
      </w:r>
      <w:r>
        <w:rPr>
          <w:rFonts w:ascii="Times New Roman" w:eastAsia="Calibri" w:hAnsi="Times New Roman" w:cs="Times New Roman"/>
          <w:sz w:val="24"/>
        </w:rPr>
        <w:t>by the predicated VMT to obtain the household’s operating or variable vehicle costs.</w:t>
      </w:r>
    </w:p>
    <w:p w:rsidR="00763834" w:rsidRPr="00C33192" w:rsidRDefault="00C33192" w:rsidP="00C33192">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Table 9 </w:t>
      </w:r>
      <w:r w:rsidRPr="00C33192">
        <w:rPr>
          <w:rFonts w:ascii="Times New Roman" w:hAnsi="Times New Roman" w:cs="Times New Roman"/>
          <w:sz w:val="24"/>
          <w:szCs w:val="24"/>
        </w:rPr>
        <w:t>about here]</w:t>
      </w:r>
    </w:p>
    <w:p w:rsidR="00C65520" w:rsidRDefault="00A52D48" w:rsidP="00C33192">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Third</w:t>
      </w:r>
      <w:r w:rsidR="00722EAA">
        <w:rPr>
          <w:rFonts w:ascii="Times New Roman" w:eastAsia="Calibri" w:hAnsi="Times New Roman" w:cs="Times New Roman"/>
          <w:sz w:val="24"/>
        </w:rPr>
        <w:t>, we</w:t>
      </w:r>
      <w:r w:rsidR="00763834" w:rsidRPr="00763834">
        <w:rPr>
          <w:rFonts w:ascii="Times New Roman" w:eastAsia="Calibri" w:hAnsi="Times New Roman" w:cs="Times New Roman"/>
          <w:sz w:val="24"/>
        </w:rPr>
        <w:t xml:space="preserve"> </w:t>
      </w:r>
      <w:r w:rsidR="000F23E7">
        <w:rPr>
          <w:rFonts w:ascii="Times New Roman" w:eastAsia="Calibri" w:hAnsi="Times New Roman" w:cs="Times New Roman"/>
          <w:sz w:val="24"/>
        </w:rPr>
        <w:t>compute transit costs based on our</w:t>
      </w:r>
      <w:r w:rsidR="00763834" w:rsidRPr="00763834">
        <w:rPr>
          <w:rFonts w:ascii="Times New Roman" w:eastAsia="Calibri" w:hAnsi="Times New Roman" w:cs="Times New Roman"/>
          <w:sz w:val="24"/>
        </w:rPr>
        <w:t xml:space="preserve"> household transit trip model calibrated with data for low-in</w:t>
      </w:r>
      <w:r w:rsidR="006C5986">
        <w:rPr>
          <w:rFonts w:ascii="Times New Roman" w:eastAsia="Calibri" w:hAnsi="Times New Roman" w:cs="Times New Roman"/>
          <w:sz w:val="24"/>
        </w:rPr>
        <w:t>come households from</w:t>
      </w:r>
      <w:r w:rsidR="000F23E7">
        <w:rPr>
          <w:rFonts w:ascii="Times New Roman" w:eastAsia="Calibri" w:hAnsi="Times New Roman" w:cs="Times New Roman"/>
          <w:sz w:val="24"/>
        </w:rPr>
        <w:t xml:space="preserve"> 15</w:t>
      </w:r>
      <w:r w:rsidR="00763834" w:rsidRPr="00763834">
        <w:rPr>
          <w:rFonts w:ascii="Times New Roman" w:eastAsia="Calibri" w:hAnsi="Times New Roman" w:cs="Times New Roman"/>
          <w:sz w:val="24"/>
        </w:rPr>
        <w:t xml:space="preserve"> metropolitan regions and average transit fares specific to the regions in which HUD rental assistance properties are located.  </w:t>
      </w:r>
      <w:r w:rsidR="00954252">
        <w:rPr>
          <w:rFonts w:ascii="Times New Roman" w:eastAsia="Calibri" w:hAnsi="Times New Roman" w:cs="Times New Roman"/>
          <w:sz w:val="24"/>
        </w:rPr>
        <w:t>Transit fare data comes from the N</w:t>
      </w:r>
      <w:r w:rsidR="00C22D9C">
        <w:rPr>
          <w:rFonts w:ascii="Times New Roman" w:eastAsia="Calibri" w:hAnsi="Times New Roman" w:cs="Times New Roman"/>
          <w:sz w:val="24"/>
        </w:rPr>
        <w:t xml:space="preserve">ational Transit Database. We computed average transit fare for each region by dividing the total transit revenue by total number of unlinked passenger trips for the region. </w:t>
      </w:r>
      <w:r w:rsidR="00722EAA">
        <w:rPr>
          <w:rFonts w:ascii="Times New Roman" w:eastAsia="Calibri" w:hAnsi="Times New Roman" w:cs="Times New Roman"/>
          <w:sz w:val="24"/>
        </w:rPr>
        <w:t xml:space="preserve">We </w:t>
      </w:r>
      <w:r w:rsidR="00722EAA" w:rsidRPr="00722EAA">
        <w:rPr>
          <w:rFonts w:ascii="Times New Roman" w:eastAsia="Calibri" w:hAnsi="Times New Roman" w:cs="Times New Roman"/>
          <w:sz w:val="24"/>
        </w:rPr>
        <w:lastRenderedPageBreak/>
        <w:t>mult</w:t>
      </w:r>
      <w:r w:rsidR="00722EAA">
        <w:rPr>
          <w:rFonts w:ascii="Times New Roman" w:eastAsia="Calibri" w:hAnsi="Times New Roman" w:cs="Times New Roman"/>
          <w:sz w:val="24"/>
        </w:rPr>
        <w:t xml:space="preserve">iplied </w:t>
      </w:r>
      <w:r w:rsidR="006C5986">
        <w:rPr>
          <w:rFonts w:ascii="Times New Roman" w:eastAsia="Calibri" w:hAnsi="Times New Roman" w:cs="Times New Roman"/>
          <w:sz w:val="24"/>
        </w:rPr>
        <w:t>the amount of fare p</w:t>
      </w:r>
      <w:r w:rsidR="00722EAA">
        <w:rPr>
          <w:rFonts w:ascii="Times New Roman" w:eastAsia="Calibri" w:hAnsi="Times New Roman" w:cs="Times New Roman"/>
          <w:sz w:val="24"/>
        </w:rPr>
        <w:t>e</w:t>
      </w:r>
      <w:r w:rsidR="006C5986">
        <w:rPr>
          <w:rFonts w:ascii="Times New Roman" w:eastAsia="Calibri" w:hAnsi="Times New Roman" w:cs="Times New Roman"/>
          <w:sz w:val="24"/>
        </w:rPr>
        <w:t>r transit trip by the predic</w:t>
      </w:r>
      <w:r w:rsidR="00722EAA">
        <w:rPr>
          <w:rFonts w:ascii="Times New Roman" w:eastAsia="Calibri" w:hAnsi="Times New Roman" w:cs="Times New Roman"/>
          <w:sz w:val="24"/>
        </w:rPr>
        <w:t>ted number of transit trips</w:t>
      </w:r>
      <w:r w:rsidR="00722EAA" w:rsidRPr="00722EAA">
        <w:rPr>
          <w:rFonts w:ascii="Times New Roman" w:eastAsia="Calibri" w:hAnsi="Times New Roman" w:cs="Times New Roman"/>
          <w:sz w:val="24"/>
        </w:rPr>
        <w:t xml:space="preserve"> to obtain the household’s </w:t>
      </w:r>
      <w:r w:rsidR="00722EAA">
        <w:rPr>
          <w:rFonts w:ascii="Times New Roman" w:eastAsia="Calibri" w:hAnsi="Times New Roman" w:cs="Times New Roman"/>
          <w:sz w:val="24"/>
        </w:rPr>
        <w:t xml:space="preserve">public transit </w:t>
      </w:r>
      <w:r w:rsidR="00722EAA" w:rsidRPr="00722EAA">
        <w:rPr>
          <w:rFonts w:ascii="Times New Roman" w:eastAsia="Calibri" w:hAnsi="Times New Roman" w:cs="Times New Roman"/>
          <w:sz w:val="24"/>
        </w:rPr>
        <w:t>costs.</w:t>
      </w:r>
    </w:p>
    <w:p w:rsidR="00411AB7" w:rsidRPr="00A52D48" w:rsidRDefault="00A52D48" w:rsidP="00C65520">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To estimate the overall household’s transpo</w:t>
      </w:r>
      <w:r w:rsidR="00411AB7">
        <w:rPr>
          <w:rFonts w:ascii="Times New Roman" w:eastAsia="Calibri" w:hAnsi="Times New Roman" w:cs="Times New Roman"/>
          <w:sz w:val="24"/>
        </w:rPr>
        <w:t>rtation costs for each property</w:t>
      </w:r>
      <w:r>
        <w:rPr>
          <w:rFonts w:ascii="Times New Roman" w:eastAsia="Calibri" w:hAnsi="Times New Roman" w:cs="Times New Roman"/>
          <w:sz w:val="24"/>
        </w:rPr>
        <w:t xml:space="preserve"> in our sample, we added up the three transportation cost components.</w:t>
      </w:r>
      <w:r w:rsidR="00411AB7">
        <w:rPr>
          <w:rFonts w:ascii="Times New Roman" w:eastAsia="Calibri" w:hAnsi="Times New Roman" w:cs="Times New Roman"/>
          <w:sz w:val="24"/>
        </w:rPr>
        <w:t xml:space="preserve"> Finally, we calculated the percentage of household’s income spent on transportation for households who</w:t>
      </w:r>
      <w:r w:rsidR="00411AB7" w:rsidRPr="00411AB7">
        <w:rPr>
          <w:rFonts w:ascii="Times New Roman" w:eastAsia="Calibri" w:hAnsi="Times New Roman" w:cs="Times New Roman"/>
          <w:sz w:val="24"/>
        </w:rPr>
        <w:t xml:space="preserve"> qualify for HUD rental assistance</w:t>
      </w:r>
      <w:r w:rsidR="00411AB7">
        <w:rPr>
          <w:rFonts w:ascii="Times New Roman" w:eastAsia="Calibri" w:hAnsi="Times New Roman" w:cs="Times New Roman"/>
          <w:sz w:val="24"/>
        </w:rPr>
        <w:t xml:space="preserve">, </w:t>
      </w:r>
      <w:r w:rsidR="00411AB7" w:rsidRPr="00411AB7">
        <w:rPr>
          <w:rFonts w:ascii="Times New Roman" w:eastAsia="Calibri" w:hAnsi="Times New Roman" w:cs="Times New Roman"/>
          <w:sz w:val="24"/>
        </w:rPr>
        <w:t>that is, those with extremely low, very low, and low incomes (less than 30 percent, 50</w:t>
      </w:r>
      <w:r w:rsidR="00D11E6A">
        <w:rPr>
          <w:rFonts w:ascii="Times New Roman" w:eastAsia="Calibri" w:hAnsi="Times New Roman" w:cs="Times New Roman"/>
          <w:sz w:val="24"/>
        </w:rPr>
        <w:t xml:space="preserve"> percent, and 80 percent of county</w:t>
      </w:r>
      <w:r w:rsidR="00411AB7" w:rsidRPr="00411AB7">
        <w:rPr>
          <w:rFonts w:ascii="Times New Roman" w:eastAsia="Calibri" w:hAnsi="Times New Roman" w:cs="Times New Roman"/>
          <w:sz w:val="24"/>
        </w:rPr>
        <w:t xml:space="preserve"> median household income).</w:t>
      </w:r>
      <w:r w:rsidR="00411AB7">
        <w:rPr>
          <w:rFonts w:ascii="Times New Roman" w:eastAsia="Calibri" w:hAnsi="Times New Roman" w:cs="Times New Roman"/>
          <w:sz w:val="24"/>
        </w:rPr>
        <w:t xml:space="preserve"> </w:t>
      </w:r>
      <w:r w:rsidR="00D11E6A">
        <w:rPr>
          <w:rFonts w:ascii="Times New Roman" w:eastAsia="Calibri" w:hAnsi="Times New Roman" w:cs="Times New Roman"/>
          <w:sz w:val="24"/>
        </w:rPr>
        <w:t xml:space="preserve">As for </w:t>
      </w:r>
      <w:r w:rsidR="00CC5FCD">
        <w:rPr>
          <w:rFonts w:ascii="Times New Roman" w:eastAsia="Calibri" w:hAnsi="Times New Roman" w:cs="Times New Roman"/>
          <w:sz w:val="24"/>
        </w:rPr>
        <w:t xml:space="preserve">the </w:t>
      </w:r>
      <w:r w:rsidR="00D11E6A">
        <w:rPr>
          <w:rFonts w:ascii="Times New Roman" w:eastAsia="Calibri" w:hAnsi="Times New Roman" w:cs="Times New Roman"/>
          <w:sz w:val="24"/>
        </w:rPr>
        <w:t xml:space="preserve">household income, we used the income limit for low income households (80 percent of </w:t>
      </w:r>
      <w:r w:rsidR="00D11E6A" w:rsidRPr="00D11E6A">
        <w:rPr>
          <w:rFonts w:ascii="Times New Roman" w:eastAsia="Calibri" w:hAnsi="Times New Roman" w:cs="Times New Roman"/>
          <w:sz w:val="24"/>
        </w:rPr>
        <w:t>county median household income</w:t>
      </w:r>
      <w:r w:rsidR="00D11E6A">
        <w:rPr>
          <w:rFonts w:ascii="Times New Roman" w:eastAsia="Calibri" w:hAnsi="Times New Roman" w:cs="Times New Roman"/>
          <w:sz w:val="24"/>
        </w:rPr>
        <w:t>)</w:t>
      </w:r>
      <w:r w:rsidR="0071026C">
        <w:rPr>
          <w:rFonts w:ascii="Times New Roman" w:eastAsia="Calibri" w:hAnsi="Times New Roman" w:cs="Times New Roman"/>
          <w:sz w:val="24"/>
        </w:rPr>
        <w:t>.</w:t>
      </w:r>
      <w:r w:rsidR="00D11E6A">
        <w:rPr>
          <w:rFonts w:ascii="Times New Roman" w:eastAsia="Calibri" w:hAnsi="Times New Roman" w:cs="Times New Roman"/>
          <w:sz w:val="24"/>
        </w:rPr>
        <w:t xml:space="preserve"> </w:t>
      </w:r>
      <w:r w:rsidR="0071026C">
        <w:rPr>
          <w:rFonts w:ascii="Times New Roman" w:eastAsia="Calibri" w:hAnsi="Times New Roman" w:cs="Times New Roman"/>
          <w:sz w:val="24"/>
        </w:rPr>
        <w:t xml:space="preserve">Since the average household size in our 15 region travel survey database for eligible households is 2.39, </w:t>
      </w:r>
      <w:r w:rsidR="0071026C" w:rsidRPr="0071026C">
        <w:rPr>
          <w:rFonts w:ascii="Times New Roman" w:eastAsia="Calibri" w:hAnsi="Times New Roman" w:cs="Times New Roman"/>
          <w:sz w:val="24"/>
        </w:rPr>
        <w:t xml:space="preserve">with </w:t>
      </w:r>
      <w:r w:rsidR="0071026C">
        <w:rPr>
          <w:rFonts w:ascii="Times New Roman" w:eastAsia="Calibri" w:hAnsi="Times New Roman" w:cs="Times New Roman"/>
          <w:sz w:val="24"/>
        </w:rPr>
        <w:t>used income limit for typical household with a household size of 3 in our transportation affordability calculation.</w:t>
      </w:r>
    </w:p>
    <w:p w:rsidR="007C047B" w:rsidRPr="00AD37FF" w:rsidRDefault="006C5986" w:rsidP="00AD37FF">
      <w:pPr>
        <w:pStyle w:val="Heading1"/>
      </w:pPr>
      <w:r w:rsidRPr="00AD37FF">
        <w:t xml:space="preserve">Results and </w:t>
      </w:r>
      <w:r w:rsidR="007C047B" w:rsidRPr="00AD37FF">
        <w:t>Discussion</w:t>
      </w:r>
    </w:p>
    <w:p w:rsidR="005930A6" w:rsidRDefault="005930A6" w:rsidP="005930A6">
      <w:p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We found that, on average, a </w:t>
      </w:r>
      <w:r w:rsidRPr="002B3087">
        <w:rPr>
          <w:rFonts w:ascii="Times New Roman" w:eastAsia="Calibri" w:hAnsi="Times New Roman" w:cs="Times New Roman"/>
          <w:sz w:val="24"/>
        </w:rPr>
        <w:t>typ</w:t>
      </w:r>
      <w:r>
        <w:rPr>
          <w:rFonts w:ascii="Times New Roman" w:eastAsia="Calibri" w:hAnsi="Times New Roman" w:cs="Times New Roman"/>
          <w:sz w:val="24"/>
        </w:rPr>
        <w:t xml:space="preserve">ical low income household, </w:t>
      </w:r>
      <w:r w:rsidR="00D37430">
        <w:rPr>
          <w:rFonts w:ascii="Times New Roman" w:eastAsia="Calibri" w:hAnsi="Times New Roman" w:cs="Times New Roman"/>
          <w:sz w:val="24"/>
        </w:rPr>
        <w:t>that</w:t>
      </w:r>
      <w:r w:rsidRPr="002B3087">
        <w:rPr>
          <w:rFonts w:ascii="Times New Roman" w:eastAsia="Calibri" w:hAnsi="Times New Roman" w:cs="Times New Roman"/>
          <w:sz w:val="24"/>
        </w:rPr>
        <w:t xml:space="preserve"> </w:t>
      </w:r>
      <w:r w:rsidR="00D37430">
        <w:rPr>
          <w:rFonts w:ascii="Times New Roman" w:eastAsia="Calibri" w:hAnsi="Times New Roman" w:cs="Times New Roman"/>
          <w:sz w:val="24"/>
        </w:rPr>
        <w:t>qualifies</w:t>
      </w:r>
      <w:r w:rsidRPr="002B3087">
        <w:rPr>
          <w:rFonts w:ascii="Times New Roman" w:eastAsia="Calibri" w:hAnsi="Times New Roman" w:cs="Times New Roman"/>
          <w:sz w:val="24"/>
        </w:rPr>
        <w:t xml:space="preserve"> for HUD </w:t>
      </w:r>
      <w:r w:rsidR="00D37430">
        <w:rPr>
          <w:rFonts w:ascii="Times New Roman" w:eastAsia="Calibri" w:hAnsi="Times New Roman" w:cs="Times New Roman"/>
          <w:sz w:val="24"/>
        </w:rPr>
        <w:t>rental assistance</w:t>
      </w:r>
      <w:r>
        <w:rPr>
          <w:rFonts w:ascii="Times New Roman" w:eastAsia="Calibri" w:hAnsi="Times New Roman" w:cs="Times New Roman"/>
          <w:sz w:val="24"/>
        </w:rPr>
        <w:t xml:space="preserve"> </w:t>
      </w:r>
      <w:r w:rsidRPr="00C04A58">
        <w:rPr>
          <w:rFonts w:ascii="Times New Roman" w:eastAsia="Calibri" w:hAnsi="Times New Roman" w:cs="Times New Roman"/>
          <w:sz w:val="24"/>
          <w:highlight w:val="yellow"/>
        </w:rPr>
        <w:t>under the Section 8 New Construction and Substantial Rehabilitation and related Section 8 Multifamily programs</w:t>
      </w:r>
      <w:r w:rsidRPr="002B3087">
        <w:rPr>
          <w:rFonts w:ascii="Times New Roman" w:eastAsia="Calibri" w:hAnsi="Times New Roman" w:cs="Times New Roman"/>
          <w:sz w:val="24"/>
        </w:rPr>
        <w:t xml:space="preserve">, </w:t>
      </w:r>
      <w:r>
        <w:rPr>
          <w:rFonts w:ascii="Times New Roman" w:eastAsia="Calibri" w:hAnsi="Times New Roman" w:cs="Times New Roman"/>
          <w:sz w:val="24"/>
        </w:rPr>
        <w:t xml:space="preserve">spends </w:t>
      </w:r>
      <w:r w:rsidRPr="002F22BC">
        <w:rPr>
          <w:rFonts w:ascii="Times New Roman" w:eastAsia="Calibri" w:hAnsi="Times New Roman" w:cs="Times New Roman"/>
          <w:sz w:val="24"/>
          <w:highlight w:val="yellow"/>
        </w:rPr>
        <w:t>14.65</w:t>
      </w:r>
      <w:r>
        <w:rPr>
          <w:rFonts w:ascii="Times New Roman" w:eastAsia="Calibri" w:hAnsi="Times New Roman" w:cs="Times New Roman"/>
          <w:sz w:val="24"/>
        </w:rPr>
        <w:t xml:space="preserve"> percent of its budget on transportation which agrees with LAI recommended 15 percent threshold for transportation affordability. Figure 1 shows the frequency distribution of transportation affordability (percentage of income spent for transportation costs) for </w:t>
      </w:r>
      <w:r w:rsidRPr="002F22BC">
        <w:rPr>
          <w:rFonts w:ascii="Times New Roman" w:eastAsia="Calibri" w:hAnsi="Times New Roman" w:cs="Times New Roman"/>
          <w:sz w:val="24"/>
          <w:highlight w:val="yellow"/>
        </w:rPr>
        <w:t>8,857</w:t>
      </w:r>
      <w:r>
        <w:rPr>
          <w:rFonts w:ascii="Times New Roman" w:eastAsia="Calibri" w:hAnsi="Times New Roman" w:cs="Times New Roman"/>
          <w:sz w:val="24"/>
        </w:rPr>
        <w:t xml:space="preserve"> properties in our sample. </w:t>
      </w:r>
      <w:r w:rsidRPr="002F22BC">
        <w:rPr>
          <w:rFonts w:ascii="Times New Roman" w:eastAsia="Calibri" w:hAnsi="Times New Roman" w:cs="Times New Roman"/>
          <w:sz w:val="24"/>
          <w:highlight w:val="yellow"/>
        </w:rPr>
        <w:t>A property with the lowest transportation costs is located in California.</w:t>
      </w:r>
      <w:r>
        <w:rPr>
          <w:rFonts w:ascii="Times New Roman" w:eastAsia="Calibri" w:hAnsi="Times New Roman" w:cs="Times New Roman"/>
          <w:sz w:val="24"/>
        </w:rPr>
        <w:t xml:space="preserve"> </w:t>
      </w:r>
      <w:r w:rsidRPr="002B3087">
        <w:rPr>
          <w:rFonts w:ascii="Times New Roman" w:eastAsia="Calibri" w:hAnsi="Times New Roman" w:cs="Times New Roman"/>
          <w:sz w:val="24"/>
        </w:rPr>
        <w:t>A typical low income household, which is qualified for HUD assistance program</w:t>
      </w:r>
      <w:r>
        <w:rPr>
          <w:rFonts w:ascii="Times New Roman" w:eastAsia="Calibri" w:hAnsi="Times New Roman" w:cs="Times New Roman"/>
          <w:sz w:val="24"/>
        </w:rPr>
        <w:t xml:space="preserve"> in downtown Los Angeles</w:t>
      </w:r>
      <w:r w:rsidRPr="002B3087">
        <w:rPr>
          <w:rFonts w:ascii="Times New Roman" w:eastAsia="Calibri" w:hAnsi="Times New Roman" w:cs="Times New Roman"/>
          <w:sz w:val="24"/>
        </w:rPr>
        <w:t>, spends only $1</w:t>
      </w:r>
      <w:r>
        <w:rPr>
          <w:rFonts w:ascii="Times New Roman" w:eastAsia="Calibri" w:hAnsi="Times New Roman" w:cs="Times New Roman"/>
          <w:sz w:val="24"/>
        </w:rPr>
        <w:t>,</w:t>
      </w:r>
      <w:r w:rsidRPr="002B3087">
        <w:rPr>
          <w:rFonts w:ascii="Times New Roman" w:eastAsia="Calibri" w:hAnsi="Times New Roman" w:cs="Times New Roman"/>
          <w:sz w:val="24"/>
        </w:rPr>
        <w:t xml:space="preserve">988 per year on transportation which is less than 3.5% of its budget. The same household in a </w:t>
      </w:r>
      <w:r>
        <w:rPr>
          <w:rFonts w:ascii="Times New Roman" w:eastAsia="Calibri" w:hAnsi="Times New Roman" w:cs="Times New Roman"/>
          <w:sz w:val="24"/>
        </w:rPr>
        <w:t xml:space="preserve">property in a </w:t>
      </w:r>
      <w:r>
        <w:rPr>
          <w:rFonts w:ascii="Times New Roman" w:eastAsia="Calibri" w:hAnsi="Times New Roman" w:cs="Times New Roman"/>
          <w:sz w:val="24"/>
        </w:rPr>
        <w:lastRenderedPageBreak/>
        <w:t>distant and inacces</w:t>
      </w:r>
      <w:r w:rsidRPr="002B3087">
        <w:rPr>
          <w:rFonts w:ascii="Times New Roman" w:eastAsia="Calibri" w:hAnsi="Times New Roman" w:cs="Times New Roman"/>
          <w:sz w:val="24"/>
        </w:rPr>
        <w:t xml:space="preserve">sible location </w:t>
      </w:r>
      <w:r>
        <w:rPr>
          <w:rFonts w:ascii="Times New Roman" w:eastAsia="Calibri" w:hAnsi="Times New Roman" w:cs="Times New Roman"/>
          <w:sz w:val="24"/>
        </w:rPr>
        <w:t xml:space="preserve">in </w:t>
      </w:r>
      <w:r w:rsidRPr="002F22BC">
        <w:rPr>
          <w:rFonts w:ascii="Times New Roman" w:eastAsia="Calibri" w:hAnsi="Times New Roman" w:cs="Times New Roman"/>
          <w:sz w:val="24"/>
          <w:highlight w:val="yellow"/>
        </w:rPr>
        <w:t>Wheeling, WV-OH</w:t>
      </w:r>
      <w:r>
        <w:rPr>
          <w:rFonts w:ascii="Times New Roman" w:eastAsia="Calibri" w:hAnsi="Times New Roman" w:cs="Times New Roman"/>
          <w:sz w:val="24"/>
        </w:rPr>
        <w:t xml:space="preserve"> </w:t>
      </w:r>
      <w:r w:rsidRPr="002B3087">
        <w:rPr>
          <w:rFonts w:ascii="Times New Roman" w:eastAsia="Calibri" w:hAnsi="Times New Roman" w:cs="Times New Roman"/>
          <w:sz w:val="24"/>
        </w:rPr>
        <w:t xml:space="preserve">spends </w:t>
      </w:r>
      <w:r w:rsidRPr="002F22BC">
        <w:rPr>
          <w:rFonts w:ascii="Times New Roman" w:eastAsia="Calibri" w:hAnsi="Times New Roman" w:cs="Times New Roman"/>
          <w:sz w:val="24"/>
          <w:highlight w:val="yellow"/>
        </w:rPr>
        <w:t>$</w:t>
      </w:r>
      <w:r w:rsidRPr="002F22BC">
        <w:rPr>
          <w:highlight w:val="yellow"/>
        </w:rPr>
        <w:t xml:space="preserve"> </w:t>
      </w:r>
      <w:r w:rsidRPr="002F22BC">
        <w:rPr>
          <w:rFonts w:ascii="Times New Roman" w:eastAsia="Calibri" w:hAnsi="Times New Roman" w:cs="Times New Roman"/>
          <w:sz w:val="24"/>
          <w:highlight w:val="yellow"/>
        </w:rPr>
        <w:t>10,349 (28</w:t>
      </w:r>
      <w:r>
        <w:rPr>
          <w:rFonts w:ascii="Times New Roman" w:eastAsia="Calibri" w:hAnsi="Times New Roman" w:cs="Times New Roman"/>
          <w:sz w:val="24"/>
        </w:rPr>
        <w:t xml:space="preserve"> percent</w:t>
      </w:r>
      <w:r w:rsidRPr="002B3087">
        <w:rPr>
          <w:rFonts w:ascii="Times New Roman" w:eastAsia="Calibri" w:hAnsi="Times New Roman" w:cs="Times New Roman"/>
          <w:sz w:val="24"/>
        </w:rPr>
        <w:t xml:space="preserve"> of its budget</w:t>
      </w:r>
      <w:r>
        <w:rPr>
          <w:rFonts w:ascii="Times New Roman" w:eastAsia="Calibri" w:hAnsi="Times New Roman" w:cs="Times New Roman"/>
          <w:sz w:val="24"/>
        </w:rPr>
        <w:t>)</w:t>
      </w:r>
      <w:r w:rsidRPr="002B3087">
        <w:rPr>
          <w:rFonts w:ascii="Times New Roman" w:eastAsia="Calibri" w:hAnsi="Times New Roman" w:cs="Times New Roman"/>
          <w:sz w:val="24"/>
        </w:rPr>
        <w:t xml:space="preserve"> on transportation.</w:t>
      </w:r>
    </w:p>
    <w:p w:rsidR="005930A6" w:rsidRPr="00737FEE" w:rsidRDefault="005930A6" w:rsidP="005930A6">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Figure 1 </w:t>
      </w:r>
      <w:r w:rsidRPr="00C33192">
        <w:rPr>
          <w:rFonts w:ascii="Times New Roman" w:hAnsi="Times New Roman" w:cs="Times New Roman"/>
          <w:sz w:val="24"/>
          <w:szCs w:val="24"/>
        </w:rPr>
        <w:t>about here]</w:t>
      </w:r>
    </w:p>
    <w:p w:rsidR="005930A6" w:rsidRDefault="005930A6" w:rsidP="005930A6">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Figure 2</w:t>
      </w:r>
      <w:r w:rsidRPr="005D1269">
        <w:rPr>
          <w:rFonts w:ascii="Times New Roman" w:eastAsia="Calibri" w:hAnsi="Times New Roman" w:cs="Times New Roman"/>
          <w:sz w:val="24"/>
        </w:rPr>
        <w:t xml:space="preserve"> shows the variation of transportation costs for HUD multifamily properties in </w:t>
      </w:r>
      <w:r>
        <w:rPr>
          <w:rFonts w:ascii="Times New Roman" w:eastAsia="Calibri" w:hAnsi="Times New Roman" w:cs="Times New Roman"/>
          <w:sz w:val="24"/>
        </w:rPr>
        <w:t xml:space="preserve">U.S metropolitan areas. The red color shows unaffordable properties where a typical low-income household spends more than 15 percent of its budget on transportation. The orange color represents affordable properties where transportation costs are less than 15 percent of a typical low-income households. </w:t>
      </w:r>
      <w:r w:rsidRPr="005D1269">
        <w:rPr>
          <w:rFonts w:ascii="Times New Roman" w:eastAsia="Calibri" w:hAnsi="Times New Roman" w:cs="Times New Roman"/>
          <w:sz w:val="24"/>
        </w:rPr>
        <w:t>As shown in the figure</w:t>
      </w:r>
      <w:r>
        <w:rPr>
          <w:rFonts w:ascii="Times New Roman" w:eastAsia="Calibri" w:hAnsi="Times New Roman" w:cs="Times New Roman"/>
          <w:sz w:val="24"/>
        </w:rPr>
        <w:t>,</w:t>
      </w:r>
      <w:r w:rsidRPr="005D1269">
        <w:rPr>
          <w:rFonts w:ascii="Times New Roman" w:eastAsia="Calibri" w:hAnsi="Times New Roman" w:cs="Times New Roman"/>
          <w:sz w:val="24"/>
        </w:rPr>
        <w:t xml:space="preserve"> across the U.S, cities with </w:t>
      </w:r>
      <w:r>
        <w:rPr>
          <w:rFonts w:ascii="Times New Roman" w:eastAsia="Calibri" w:hAnsi="Times New Roman" w:cs="Times New Roman"/>
          <w:sz w:val="24"/>
        </w:rPr>
        <w:t xml:space="preserve">good public transit service such as Portland, OR have, in general, lower transportation costs particularly in downtown area. Properties in </w:t>
      </w:r>
      <w:r w:rsidRPr="00760FB5">
        <w:rPr>
          <w:rFonts w:ascii="Times New Roman" w:eastAsia="Calibri" w:hAnsi="Times New Roman" w:cs="Times New Roman"/>
          <w:sz w:val="24"/>
        </w:rPr>
        <w:t xml:space="preserve">auto-oriented cities </w:t>
      </w:r>
      <w:r>
        <w:rPr>
          <w:rFonts w:ascii="Times New Roman" w:eastAsia="Calibri" w:hAnsi="Times New Roman" w:cs="Times New Roman"/>
          <w:sz w:val="24"/>
        </w:rPr>
        <w:t xml:space="preserve">such as Las Vegas, NV and Orlando, FL have high transportation costs even housing units in downtown areas. </w:t>
      </w:r>
    </w:p>
    <w:p w:rsidR="005930A6" w:rsidRPr="00737FEE" w:rsidRDefault="005930A6" w:rsidP="005930A6">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Figure 2 </w:t>
      </w:r>
      <w:r w:rsidRPr="00C33192">
        <w:rPr>
          <w:rFonts w:ascii="Times New Roman" w:hAnsi="Times New Roman" w:cs="Times New Roman"/>
          <w:sz w:val="24"/>
          <w:szCs w:val="24"/>
        </w:rPr>
        <w:t>about here]</w:t>
      </w:r>
    </w:p>
    <w:p w:rsidR="005930A6" w:rsidRDefault="005930A6" w:rsidP="005930A6">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Figure 3 and 4 show two compact (New York and </w:t>
      </w:r>
      <w:r w:rsidRPr="003F43EC">
        <w:rPr>
          <w:rFonts w:ascii="Times New Roman" w:eastAsia="Calibri" w:hAnsi="Times New Roman" w:cs="Times New Roman"/>
          <w:sz w:val="24"/>
          <w:highlight w:val="yellow"/>
        </w:rPr>
        <w:t>Chicago</w:t>
      </w:r>
      <w:r>
        <w:rPr>
          <w:rFonts w:ascii="Times New Roman" w:eastAsia="Calibri" w:hAnsi="Times New Roman" w:cs="Times New Roman"/>
          <w:sz w:val="24"/>
        </w:rPr>
        <w:t>) and two sprawling (</w:t>
      </w:r>
      <w:r w:rsidRPr="002F22BC">
        <w:rPr>
          <w:rFonts w:ascii="Times New Roman" w:eastAsia="Calibri" w:hAnsi="Times New Roman" w:cs="Times New Roman"/>
          <w:sz w:val="24"/>
          <w:highlight w:val="yellow"/>
        </w:rPr>
        <w:t>Phoenix</w:t>
      </w:r>
      <w:r>
        <w:rPr>
          <w:rFonts w:ascii="Times New Roman" w:eastAsia="Calibri" w:hAnsi="Times New Roman" w:cs="Times New Roman"/>
          <w:sz w:val="24"/>
        </w:rPr>
        <w:t xml:space="preserve"> and Detroit-Warren) metropolitan areas.</w:t>
      </w:r>
      <w:r w:rsidRPr="00AC214E">
        <w:rPr>
          <w:rFonts w:ascii="Times New Roman" w:eastAsia="Calibri" w:hAnsi="Times New Roman" w:cs="Times New Roman"/>
          <w:sz w:val="24"/>
        </w:rPr>
        <w:t xml:space="preserve"> </w:t>
      </w:r>
      <w:r>
        <w:rPr>
          <w:rFonts w:ascii="Times New Roman" w:eastAsia="Calibri" w:hAnsi="Times New Roman" w:cs="Times New Roman"/>
          <w:sz w:val="24"/>
        </w:rPr>
        <w:t xml:space="preserve">As shown in figures, </w:t>
      </w:r>
      <w:r w:rsidRPr="00AC214E">
        <w:rPr>
          <w:rFonts w:ascii="Times New Roman" w:eastAsia="Calibri" w:hAnsi="Times New Roman" w:cs="Times New Roman"/>
          <w:sz w:val="24"/>
        </w:rPr>
        <w:t>transportation costs increase with distance from downtown. As one would expect, suburban areas have much higher transportation costs than pr</w:t>
      </w:r>
      <w:r>
        <w:rPr>
          <w:rFonts w:ascii="Times New Roman" w:eastAsia="Calibri" w:hAnsi="Times New Roman" w:cs="Times New Roman"/>
          <w:sz w:val="24"/>
        </w:rPr>
        <w:t>operties in central cities.</w:t>
      </w:r>
      <w:r w:rsidRPr="00AC214E">
        <w:rPr>
          <w:rFonts w:ascii="Times New Roman" w:eastAsia="Calibri" w:hAnsi="Times New Roman" w:cs="Times New Roman"/>
          <w:sz w:val="24"/>
        </w:rPr>
        <w:t xml:space="preserve"> </w:t>
      </w:r>
      <w:r>
        <w:rPr>
          <w:rFonts w:ascii="Times New Roman" w:eastAsia="Calibri" w:hAnsi="Times New Roman" w:cs="Times New Roman"/>
          <w:sz w:val="24"/>
        </w:rPr>
        <w:t xml:space="preserve">These results are at the same line with the LAI transportation costs calculator which shows a typical household in an accessible central location spends significantly less on transportation than the same household in a distant area (Jain &amp; Brecher </w:t>
      </w:r>
      <w:r w:rsidRPr="00D06DDA">
        <w:rPr>
          <w:rFonts w:ascii="Times New Roman" w:eastAsia="Calibri" w:hAnsi="Times New Roman" w:cs="Times New Roman"/>
          <w:sz w:val="24"/>
        </w:rPr>
        <w:t>2014)</w:t>
      </w:r>
      <w:r>
        <w:rPr>
          <w:rFonts w:ascii="Times New Roman" w:eastAsia="Calibri" w:hAnsi="Times New Roman" w:cs="Times New Roman"/>
          <w:sz w:val="24"/>
        </w:rPr>
        <w:t>.</w:t>
      </w:r>
    </w:p>
    <w:p w:rsidR="005930A6" w:rsidRDefault="005930A6" w:rsidP="005930A6">
      <w:pPr>
        <w:spacing w:after="0" w:line="480" w:lineRule="auto"/>
        <w:ind w:firstLine="720"/>
        <w:rPr>
          <w:rFonts w:ascii="Times New Roman" w:eastAsia="Calibri" w:hAnsi="Times New Roman" w:cs="Times New Roman"/>
          <w:sz w:val="24"/>
        </w:rPr>
      </w:pPr>
      <w:r>
        <w:rPr>
          <w:rFonts w:ascii="Times New Roman" w:eastAsia="Calibri" w:hAnsi="Times New Roman" w:cs="Times New Roman"/>
          <w:sz w:val="24"/>
        </w:rPr>
        <w:t>We found that, out of 8,857 properties, households in 3,860 properties (</w:t>
      </w:r>
      <w:r w:rsidRPr="002F22BC">
        <w:rPr>
          <w:rFonts w:ascii="Times New Roman" w:eastAsia="Calibri" w:hAnsi="Times New Roman" w:cs="Times New Roman"/>
          <w:sz w:val="24"/>
          <w:highlight w:val="yellow"/>
        </w:rPr>
        <w:t>44</w:t>
      </w:r>
      <w:r>
        <w:rPr>
          <w:rFonts w:ascii="Times New Roman" w:eastAsia="Calibri" w:hAnsi="Times New Roman" w:cs="Times New Roman"/>
          <w:sz w:val="24"/>
        </w:rPr>
        <w:t xml:space="preserve"> percent of all properties in the sample) spend on average more than 15 percent of their income on transportation costs. In other words, transportation is unaffordable by the CNT definition for low income households at these properties. </w:t>
      </w:r>
      <w:r w:rsidRPr="002F22BC">
        <w:rPr>
          <w:rFonts w:ascii="Times New Roman" w:eastAsia="Calibri" w:hAnsi="Times New Roman" w:cs="Times New Roman"/>
          <w:sz w:val="24"/>
          <w:highlight w:val="yellow"/>
        </w:rPr>
        <w:t xml:space="preserve">Interestingly, transportation is unaffordable for all </w:t>
      </w:r>
      <w:r w:rsidR="00D37430">
        <w:rPr>
          <w:rFonts w:ascii="Times New Roman" w:eastAsia="Calibri" w:hAnsi="Times New Roman" w:cs="Times New Roman"/>
          <w:sz w:val="24"/>
          <w:highlight w:val="yellow"/>
        </w:rPr>
        <w:lastRenderedPageBreak/>
        <w:t>properties in 70 o</w:t>
      </w:r>
      <w:r w:rsidRPr="002F22BC">
        <w:rPr>
          <w:rFonts w:ascii="Times New Roman" w:eastAsia="Calibri" w:hAnsi="Times New Roman" w:cs="Times New Roman"/>
          <w:sz w:val="24"/>
          <w:highlight w:val="yellow"/>
        </w:rPr>
        <w:t xml:space="preserve">ut of 322 metropolitan areas and divisions that supply Section 8 Multifamily rental assistance. Memphis, TN, Orlando, FL, </w:t>
      </w:r>
      <w:r>
        <w:rPr>
          <w:rFonts w:ascii="Times New Roman" w:eastAsia="Calibri" w:hAnsi="Times New Roman" w:cs="Times New Roman"/>
          <w:sz w:val="24"/>
          <w:highlight w:val="yellow"/>
        </w:rPr>
        <w:t xml:space="preserve">Hickory, NC, </w:t>
      </w:r>
      <w:r w:rsidRPr="002F22BC">
        <w:rPr>
          <w:rFonts w:ascii="Times New Roman" w:eastAsia="Calibri" w:hAnsi="Times New Roman" w:cs="Times New Roman"/>
          <w:sz w:val="24"/>
          <w:highlight w:val="yellow"/>
        </w:rPr>
        <w:t>and Las Vegas, NV are some of them</w:t>
      </w:r>
      <w:r>
        <w:rPr>
          <w:rFonts w:ascii="Times New Roman" w:eastAsia="Calibri" w:hAnsi="Times New Roman" w:cs="Times New Roman"/>
          <w:sz w:val="24"/>
          <w:highlight w:val="yellow"/>
        </w:rPr>
        <w:t xml:space="preserve"> </w:t>
      </w:r>
      <w:r w:rsidRPr="002F22BC">
        <w:rPr>
          <w:rFonts w:ascii="Times New Roman" w:eastAsia="Calibri" w:hAnsi="Times New Roman" w:cs="Times New Roman"/>
          <w:sz w:val="24"/>
          <w:highlight w:val="yellow"/>
        </w:rPr>
        <w:t>(see Table 10).</w:t>
      </w:r>
      <w:r>
        <w:rPr>
          <w:rFonts w:ascii="Times New Roman" w:eastAsia="Calibri" w:hAnsi="Times New Roman" w:cs="Times New Roman"/>
          <w:sz w:val="24"/>
        </w:rPr>
        <w:t xml:space="preserve"> Not surprisingly, these and other metropolitan areas in Table 10 are found to be among the most sprawling MSAs in the country by previous studies (Ewing and Hamidi, 2014). Accordingly, the more compact metropolitan areas are found to have the highest number of affordable housing supplied by HUD (see Table 11). </w:t>
      </w:r>
      <w:r w:rsidRPr="002F22BC">
        <w:rPr>
          <w:rFonts w:ascii="Times New Roman" w:eastAsia="Calibri" w:hAnsi="Times New Roman" w:cs="Times New Roman"/>
          <w:sz w:val="24"/>
          <w:highlight w:val="yellow"/>
        </w:rPr>
        <w:t>San Francisco, CA has the highest percentage of affordable properties, followed by Denver, CO, Los Angeles, CA, Washington DC, Portland, OR and New York, NY.</w:t>
      </w:r>
      <w:r>
        <w:rPr>
          <w:rFonts w:ascii="Times New Roman" w:eastAsia="Calibri" w:hAnsi="Times New Roman" w:cs="Times New Roman"/>
          <w:sz w:val="24"/>
        </w:rPr>
        <w:t xml:space="preserve"> This is not to suggest, of course, that rental assistance be limited to compact metropolitan areas, but rather to suggest that, channeling subsidies into accessible neighborhoods is even more important </w:t>
      </w:r>
      <w:r w:rsidRPr="00155EE1">
        <w:rPr>
          <w:rFonts w:ascii="Times New Roman" w:eastAsia="Calibri" w:hAnsi="Times New Roman" w:cs="Times New Roman"/>
          <w:sz w:val="24"/>
        </w:rPr>
        <w:t xml:space="preserve">in sprawling metropolitan areas </w:t>
      </w:r>
      <w:r>
        <w:rPr>
          <w:rFonts w:ascii="Times New Roman" w:eastAsia="Calibri" w:hAnsi="Times New Roman" w:cs="Times New Roman"/>
          <w:sz w:val="24"/>
        </w:rPr>
        <w:t xml:space="preserve">than compact ones.  </w:t>
      </w:r>
      <w:r w:rsidRPr="00EB2BA7">
        <w:rPr>
          <w:rFonts w:ascii="Times New Roman" w:eastAsia="Calibri" w:hAnsi="Times New Roman" w:cs="Times New Roman"/>
          <w:sz w:val="24"/>
          <w:highlight w:val="yellow"/>
        </w:rPr>
        <w:t>Another implication could be that properties in sprawling or inaccessible areas need to include a transportation allowance in addition to the existing utility allowance...or that the housing subsidy would need to be higher in inaccessible areas to account for the added transportation cost</w:t>
      </w:r>
      <w:r>
        <w:rPr>
          <w:rFonts w:ascii="Times New Roman" w:eastAsia="Calibri" w:hAnsi="Times New Roman" w:cs="Times New Roman"/>
          <w:sz w:val="24"/>
          <w:highlight w:val="yellow"/>
        </w:rPr>
        <w:t>s</w:t>
      </w:r>
      <w:r w:rsidRPr="00EB2BA7">
        <w:rPr>
          <w:rFonts w:ascii="Times New Roman" w:eastAsia="Calibri" w:hAnsi="Times New Roman" w:cs="Times New Roman"/>
          <w:sz w:val="24"/>
          <w:highlight w:val="yellow"/>
        </w:rPr>
        <w:t>. Similarly, this analysis could be used to promote small area fair market rents (FMRs) so that assisted households could access housing in more central locations.</w:t>
      </w:r>
    </w:p>
    <w:p w:rsidR="00737FEE" w:rsidRPr="00737FEE" w:rsidRDefault="005930A6" w:rsidP="005930A6">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 xml:space="preserve"> </w:t>
      </w:r>
      <w:r w:rsidR="00737FEE" w:rsidRPr="00C33192">
        <w:rPr>
          <w:rFonts w:ascii="Times New Roman" w:hAnsi="Times New Roman" w:cs="Times New Roman"/>
          <w:sz w:val="24"/>
          <w:szCs w:val="24"/>
        </w:rPr>
        <w:t>[</w:t>
      </w:r>
      <w:r w:rsidR="00737FEE">
        <w:rPr>
          <w:rFonts w:ascii="Times New Roman" w:hAnsi="Times New Roman" w:cs="Times New Roman"/>
          <w:sz w:val="24"/>
          <w:szCs w:val="24"/>
        </w:rPr>
        <w:t xml:space="preserve">Figure 3 </w:t>
      </w:r>
      <w:r w:rsidR="00737FEE" w:rsidRPr="00C33192">
        <w:rPr>
          <w:rFonts w:ascii="Times New Roman" w:hAnsi="Times New Roman" w:cs="Times New Roman"/>
          <w:sz w:val="24"/>
          <w:szCs w:val="24"/>
        </w:rPr>
        <w:t>about here]</w:t>
      </w:r>
    </w:p>
    <w:p w:rsidR="005B1EEC" w:rsidRPr="00737FEE" w:rsidRDefault="00737FEE" w:rsidP="00737FEE">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Figure 4 </w:t>
      </w:r>
      <w:r w:rsidRPr="00C33192">
        <w:rPr>
          <w:rFonts w:ascii="Times New Roman" w:hAnsi="Times New Roman" w:cs="Times New Roman"/>
          <w:sz w:val="24"/>
          <w:szCs w:val="24"/>
        </w:rPr>
        <w:t>about here]</w:t>
      </w:r>
    </w:p>
    <w:p w:rsidR="00B40E07" w:rsidRDefault="00C33192" w:rsidP="00C33192">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Table 10 </w:t>
      </w:r>
      <w:r w:rsidRPr="00C33192">
        <w:rPr>
          <w:rFonts w:ascii="Times New Roman" w:hAnsi="Times New Roman" w:cs="Times New Roman"/>
          <w:sz w:val="24"/>
          <w:szCs w:val="24"/>
        </w:rPr>
        <w:t>about here]</w:t>
      </w:r>
    </w:p>
    <w:p w:rsidR="00C65520" w:rsidRPr="00C33192" w:rsidRDefault="00C33192" w:rsidP="00C33192">
      <w:pPr>
        <w:spacing w:after="0" w:line="480" w:lineRule="auto"/>
        <w:ind w:firstLine="720"/>
        <w:rPr>
          <w:rFonts w:ascii="Times New Roman" w:hAnsi="Times New Roman" w:cs="Times New Roman"/>
          <w:sz w:val="24"/>
          <w:szCs w:val="24"/>
        </w:rPr>
      </w:pPr>
      <w:r w:rsidRPr="00C33192">
        <w:rPr>
          <w:rFonts w:ascii="Times New Roman" w:hAnsi="Times New Roman" w:cs="Times New Roman"/>
          <w:sz w:val="24"/>
          <w:szCs w:val="24"/>
        </w:rPr>
        <w:t>[</w:t>
      </w:r>
      <w:r>
        <w:rPr>
          <w:rFonts w:ascii="Times New Roman" w:hAnsi="Times New Roman" w:cs="Times New Roman"/>
          <w:sz w:val="24"/>
          <w:szCs w:val="24"/>
        </w:rPr>
        <w:t xml:space="preserve">Table 11 </w:t>
      </w:r>
      <w:r w:rsidRPr="00C33192">
        <w:rPr>
          <w:rFonts w:ascii="Times New Roman" w:hAnsi="Times New Roman" w:cs="Times New Roman"/>
          <w:sz w:val="24"/>
          <w:szCs w:val="24"/>
        </w:rPr>
        <w:t>about here]</w:t>
      </w:r>
    </w:p>
    <w:p w:rsidR="00C5581E" w:rsidRDefault="0016546F" w:rsidP="00C5581E">
      <w:pPr>
        <w:spacing w:line="480" w:lineRule="auto"/>
        <w:ind w:firstLine="720"/>
        <w:rPr>
          <w:rFonts w:ascii="Times New Roman" w:eastAsia="Calibri" w:hAnsi="Times New Roman" w:cs="Times New Roman"/>
          <w:sz w:val="24"/>
        </w:rPr>
      </w:pPr>
      <w:r>
        <w:rPr>
          <w:rFonts w:ascii="Times New Roman" w:eastAsia="Calibri" w:hAnsi="Times New Roman" w:cs="Times New Roman"/>
          <w:sz w:val="24"/>
        </w:rPr>
        <w:t xml:space="preserve">This study has limitations. </w:t>
      </w:r>
      <w:r w:rsidR="00C5581E" w:rsidRPr="008D1AFA">
        <w:rPr>
          <w:rFonts w:ascii="Times New Roman" w:eastAsia="Calibri" w:hAnsi="Times New Roman" w:cs="Times New Roman"/>
          <w:sz w:val="24"/>
          <w:highlight w:val="yellow"/>
        </w:rPr>
        <w:t xml:space="preserve">HUD's </w:t>
      </w:r>
      <w:r w:rsidR="00517A82">
        <w:rPr>
          <w:rFonts w:ascii="Times New Roman" w:eastAsia="Calibri" w:hAnsi="Times New Roman" w:cs="Times New Roman"/>
          <w:sz w:val="24"/>
          <w:highlight w:val="yellow"/>
        </w:rPr>
        <w:t>Section 8 Multifamily P</w:t>
      </w:r>
      <w:r w:rsidR="00C5581E" w:rsidRPr="008D1AFA">
        <w:rPr>
          <w:rFonts w:ascii="Times New Roman" w:eastAsia="Calibri" w:hAnsi="Times New Roman" w:cs="Times New Roman"/>
          <w:sz w:val="24"/>
          <w:highlight w:val="yellow"/>
        </w:rPr>
        <w:t>rogram</w:t>
      </w:r>
      <w:r w:rsidR="00517A82">
        <w:rPr>
          <w:rFonts w:ascii="Times New Roman" w:eastAsia="Calibri" w:hAnsi="Times New Roman" w:cs="Times New Roman"/>
          <w:sz w:val="24"/>
          <w:highlight w:val="yellow"/>
        </w:rPr>
        <w:t>s are</w:t>
      </w:r>
      <w:r w:rsidR="00C5581E" w:rsidRPr="008D1AFA">
        <w:rPr>
          <w:rFonts w:ascii="Times New Roman" w:eastAsia="Calibri" w:hAnsi="Times New Roman" w:cs="Times New Roman"/>
          <w:sz w:val="24"/>
          <w:highlight w:val="yellow"/>
        </w:rPr>
        <w:t xml:space="preserve"> relatively small and </w:t>
      </w:r>
      <w:r w:rsidR="00517A82">
        <w:rPr>
          <w:rFonts w:ascii="Times New Roman" w:eastAsia="Calibri" w:hAnsi="Times New Roman" w:cs="Times New Roman"/>
          <w:sz w:val="24"/>
          <w:highlight w:val="yellow"/>
        </w:rPr>
        <w:t>thus</w:t>
      </w:r>
      <w:r w:rsidR="00C5581E" w:rsidRPr="008D1AFA">
        <w:rPr>
          <w:rFonts w:ascii="Times New Roman" w:eastAsia="Calibri" w:hAnsi="Times New Roman" w:cs="Times New Roman"/>
          <w:sz w:val="24"/>
          <w:highlight w:val="yellow"/>
        </w:rPr>
        <w:t xml:space="preserve"> dwarfed b</w:t>
      </w:r>
      <w:r w:rsidR="00F9778A">
        <w:rPr>
          <w:rFonts w:ascii="Times New Roman" w:eastAsia="Calibri" w:hAnsi="Times New Roman" w:cs="Times New Roman"/>
          <w:sz w:val="24"/>
          <w:highlight w:val="yellow"/>
        </w:rPr>
        <w:t xml:space="preserve">y tenant-based vouchers and </w:t>
      </w:r>
      <w:r w:rsidR="00C5581E" w:rsidRPr="008D1AFA">
        <w:rPr>
          <w:rFonts w:ascii="Times New Roman" w:eastAsia="Calibri" w:hAnsi="Times New Roman" w:cs="Times New Roman"/>
          <w:sz w:val="24"/>
          <w:highlight w:val="yellow"/>
        </w:rPr>
        <w:t>low income housing tax credit</w:t>
      </w:r>
      <w:r w:rsidR="00F9778A">
        <w:rPr>
          <w:rFonts w:ascii="Times New Roman" w:eastAsia="Calibri" w:hAnsi="Times New Roman" w:cs="Times New Roman"/>
          <w:sz w:val="24"/>
          <w:highlight w:val="yellow"/>
        </w:rPr>
        <w:t>s</w:t>
      </w:r>
      <w:r w:rsidR="00C5581E" w:rsidRPr="008D1AFA">
        <w:rPr>
          <w:rFonts w:ascii="Times New Roman" w:eastAsia="Calibri" w:hAnsi="Times New Roman" w:cs="Times New Roman"/>
          <w:sz w:val="24"/>
          <w:highlight w:val="yellow"/>
        </w:rPr>
        <w:t xml:space="preserve"> (LIHTC</w:t>
      </w:r>
      <w:r w:rsidR="00F9778A">
        <w:rPr>
          <w:rFonts w:ascii="Times New Roman" w:eastAsia="Calibri" w:hAnsi="Times New Roman" w:cs="Times New Roman"/>
          <w:sz w:val="24"/>
          <w:highlight w:val="yellow"/>
        </w:rPr>
        <w:t>s</w:t>
      </w:r>
      <w:r w:rsidR="00C5581E" w:rsidRPr="00AB5420">
        <w:rPr>
          <w:rFonts w:ascii="Times New Roman" w:eastAsia="Calibri" w:hAnsi="Times New Roman" w:cs="Times New Roman"/>
          <w:sz w:val="24"/>
          <w:highlight w:val="yellow"/>
        </w:rPr>
        <w:t xml:space="preserve">). </w:t>
      </w:r>
      <w:r w:rsidR="00C5581E">
        <w:rPr>
          <w:rFonts w:ascii="Times New Roman" w:eastAsia="Calibri" w:hAnsi="Times New Roman" w:cs="Times New Roman"/>
          <w:sz w:val="24"/>
          <w:highlight w:val="yellow"/>
        </w:rPr>
        <w:t>In addition, the program</w:t>
      </w:r>
      <w:r w:rsidR="00517A82">
        <w:rPr>
          <w:rFonts w:ascii="Times New Roman" w:eastAsia="Calibri" w:hAnsi="Times New Roman" w:cs="Times New Roman"/>
          <w:sz w:val="24"/>
          <w:highlight w:val="yellow"/>
        </w:rPr>
        <w:t>s are</w:t>
      </w:r>
      <w:r w:rsidR="00C5581E">
        <w:rPr>
          <w:rFonts w:ascii="Times New Roman" w:eastAsia="Calibri" w:hAnsi="Times New Roman" w:cs="Times New Roman"/>
          <w:sz w:val="24"/>
          <w:highlight w:val="yellow"/>
        </w:rPr>
        <w:t xml:space="preserve"> mostly in preservation and operation mode, no longer subsidizing new construction/substantial rehabilitation. It begs t</w:t>
      </w:r>
      <w:r w:rsidR="00517A82">
        <w:rPr>
          <w:rFonts w:ascii="Times New Roman" w:eastAsia="Calibri" w:hAnsi="Times New Roman" w:cs="Times New Roman"/>
          <w:sz w:val="24"/>
          <w:highlight w:val="yellow"/>
        </w:rPr>
        <w:t>he question of why focus on these</w:t>
      </w:r>
      <w:r w:rsidR="00C5581E">
        <w:rPr>
          <w:rFonts w:ascii="Times New Roman" w:eastAsia="Calibri" w:hAnsi="Times New Roman" w:cs="Times New Roman"/>
          <w:sz w:val="24"/>
          <w:highlight w:val="yellow"/>
        </w:rPr>
        <w:t xml:space="preserve"> program</w:t>
      </w:r>
      <w:r w:rsidR="00517A82">
        <w:rPr>
          <w:rFonts w:ascii="Times New Roman" w:eastAsia="Calibri" w:hAnsi="Times New Roman" w:cs="Times New Roman"/>
          <w:sz w:val="24"/>
          <w:highlight w:val="yellow"/>
        </w:rPr>
        <w:t>s</w:t>
      </w:r>
      <w:r w:rsidR="00C5581E">
        <w:rPr>
          <w:rFonts w:ascii="Times New Roman" w:eastAsia="Calibri" w:hAnsi="Times New Roman" w:cs="Times New Roman"/>
          <w:sz w:val="24"/>
          <w:highlight w:val="yellow"/>
        </w:rPr>
        <w:t xml:space="preserve"> </w:t>
      </w:r>
      <w:r w:rsidR="00C5581E">
        <w:rPr>
          <w:rFonts w:ascii="Times New Roman" w:eastAsia="Calibri" w:hAnsi="Times New Roman" w:cs="Times New Roman"/>
          <w:sz w:val="24"/>
          <w:highlight w:val="yellow"/>
        </w:rPr>
        <w:lastRenderedPageBreak/>
        <w:t xml:space="preserve">rather than the larger, more active programs. The answer is </w:t>
      </w:r>
      <w:r w:rsidR="00517A82">
        <w:rPr>
          <w:rFonts w:ascii="Times New Roman" w:eastAsia="Calibri" w:hAnsi="Times New Roman" w:cs="Times New Roman"/>
          <w:sz w:val="24"/>
          <w:highlight w:val="yellow"/>
        </w:rPr>
        <w:t xml:space="preserve">our findings can be used to qualify properties for renewal when HUD contracts expire, based on location and hence on transportation affordability. The answer is also </w:t>
      </w:r>
      <w:r w:rsidR="00C5581E" w:rsidRPr="00517A82">
        <w:rPr>
          <w:rFonts w:ascii="Times New Roman" w:eastAsia="Calibri" w:hAnsi="Times New Roman" w:cs="Times New Roman"/>
          <w:sz w:val="24"/>
          <w:highlight w:val="yellow"/>
        </w:rPr>
        <w:t xml:space="preserve">because </w:t>
      </w:r>
      <w:r w:rsidR="00517A82" w:rsidRPr="00517A82">
        <w:rPr>
          <w:rFonts w:ascii="Times New Roman" w:eastAsia="Calibri" w:hAnsi="Times New Roman" w:cs="Times New Roman"/>
          <w:sz w:val="24"/>
          <w:highlight w:val="yellow"/>
        </w:rPr>
        <w:t>the Section 8 Multifamily Programs have</w:t>
      </w:r>
      <w:r w:rsidR="00C5581E" w:rsidRPr="00517A82">
        <w:rPr>
          <w:rFonts w:ascii="Times New Roman" w:eastAsia="Calibri" w:hAnsi="Times New Roman" w:cs="Times New Roman"/>
          <w:sz w:val="24"/>
          <w:highlight w:val="yellow"/>
        </w:rPr>
        <w:t xml:space="preserve"> </w:t>
      </w:r>
      <w:r w:rsidR="00C5581E">
        <w:rPr>
          <w:rFonts w:ascii="Times New Roman" w:eastAsia="Calibri" w:hAnsi="Times New Roman" w:cs="Times New Roman"/>
          <w:sz w:val="24"/>
          <w:highlight w:val="yellow"/>
        </w:rPr>
        <w:t>historic significance, and our findings can be applied to any</w:t>
      </w:r>
      <w:r w:rsidR="00517A82">
        <w:rPr>
          <w:rFonts w:ascii="Times New Roman" w:eastAsia="Calibri" w:hAnsi="Times New Roman" w:cs="Times New Roman"/>
          <w:sz w:val="24"/>
          <w:highlight w:val="yellow"/>
        </w:rPr>
        <w:t xml:space="preserve"> rental assistance</w:t>
      </w:r>
      <w:r w:rsidR="00C5581E">
        <w:rPr>
          <w:rFonts w:ascii="Times New Roman" w:eastAsia="Calibri" w:hAnsi="Times New Roman" w:cs="Times New Roman"/>
          <w:sz w:val="24"/>
          <w:highlight w:val="yellow"/>
        </w:rPr>
        <w:t xml:space="preserve"> program. P</w:t>
      </w:r>
      <w:r w:rsidR="00C5581E" w:rsidRPr="00AB5420">
        <w:rPr>
          <w:rFonts w:ascii="Times New Roman" w:eastAsia="Calibri" w:hAnsi="Times New Roman" w:cs="Times New Roman"/>
          <w:sz w:val="24"/>
          <w:highlight w:val="yellow"/>
        </w:rPr>
        <w:t xml:space="preserve">recise locations of LIHTC properties are available, </w:t>
      </w:r>
      <w:r w:rsidR="00E97B82">
        <w:rPr>
          <w:rFonts w:ascii="Times New Roman" w:eastAsia="Calibri" w:hAnsi="Times New Roman" w:cs="Times New Roman"/>
          <w:sz w:val="24"/>
          <w:highlight w:val="yellow"/>
        </w:rPr>
        <w:t xml:space="preserve">and precise locations of voucher recipients are available through data licensing agreements. We will in </w:t>
      </w:r>
      <w:r w:rsidR="00C5581E" w:rsidRPr="00AB5420">
        <w:rPr>
          <w:rFonts w:ascii="Times New Roman" w:eastAsia="Calibri" w:hAnsi="Times New Roman" w:cs="Times New Roman"/>
          <w:sz w:val="24"/>
          <w:highlight w:val="yellow"/>
        </w:rPr>
        <w:t>subsequent paper</w:t>
      </w:r>
      <w:r w:rsidR="00F9778A">
        <w:rPr>
          <w:rFonts w:ascii="Times New Roman" w:eastAsia="Calibri" w:hAnsi="Times New Roman" w:cs="Times New Roman"/>
          <w:sz w:val="24"/>
          <w:highlight w:val="yellow"/>
        </w:rPr>
        <w:t>s</w:t>
      </w:r>
      <w:r w:rsidR="00C5581E" w:rsidRPr="00AB5420">
        <w:rPr>
          <w:rFonts w:ascii="Times New Roman" w:eastAsia="Calibri" w:hAnsi="Times New Roman" w:cs="Times New Roman"/>
          <w:sz w:val="24"/>
          <w:highlight w:val="yellow"/>
        </w:rPr>
        <w:t xml:space="preserve"> analyze these </w:t>
      </w:r>
      <w:r w:rsidR="00F9778A">
        <w:rPr>
          <w:rFonts w:ascii="Times New Roman" w:eastAsia="Calibri" w:hAnsi="Times New Roman" w:cs="Times New Roman"/>
          <w:sz w:val="24"/>
          <w:highlight w:val="yellow"/>
        </w:rPr>
        <w:t>programs</w:t>
      </w:r>
      <w:r w:rsidR="00C5581E" w:rsidRPr="00AB5420">
        <w:rPr>
          <w:rFonts w:ascii="Times New Roman" w:eastAsia="Calibri" w:hAnsi="Times New Roman" w:cs="Times New Roman"/>
          <w:sz w:val="24"/>
          <w:highlight w:val="yellow"/>
        </w:rPr>
        <w:t xml:space="preserve"> for transportation affordab</w:t>
      </w:r>
      <w:r w:rsidR="00C5581E" w:rsidRPr="00F9778A">
        <w:rPr>
          <w:rFonts w:ascii="Times New Roman" w:eastAsia="Calibri" w:hAnsi="Times New Roman" w:cs="Times New Roman"/>
          <w:sz w:val="24"/>
          <w:highlight w:val="yellow"/>
        </w:rPr>
        <w:t>ility.</w:t>
      </w:r>
      <w:r w:rsidR="00F9778A" w:rsidRPr="00F9778A">
        <w:rPr>
          <w:rFonts w:ascii="Times New Roman" w:eastAsia="Calibri" w:hAnsi="Times New Roman" w:cs="Times New Roman"/>
          <w:sz w:val="24"/>
          <w:highlight w:val="yellow"/>
        </w:rPr>
        <w:t xml:space="preserve"> Given the nature of our methodology, we will arrive at similar conclusions.</w:t>
      </w:r>
    </w:p>
    <w:p w:rsidR="00A733F6" w:rsidRDefault="00AB37D7" w:rsidP="00C65520">
      <w:pPr>
        <w:spacing w:after="0" w:line="480" w:lineRule="auto"/>
        <w:ind w:firstLine="720"/>
        <w:rPr>
          <w:rFonts w:ascii="Times New Roman" w:eastAsia="Calibri" w:hAnsi="Times New Roman" w:cs="Times New Roman"/>
          <w:sz w:val="24"/>
        </w:rPr>
      </w:pPr>
      <w:r w:rsidRPr="00AB37D7">
        <w:rPr>
          <w:rFonts w:ascii="Times New Roman" w:eastAsia="Calibri" w:hAnsi="Times New Roman" w:cs="Times New Roman"/>
          <w:sz w:val="24"/>
          <w:highlight w:val="yellow"/>
        </w:rPr>
        <w:t xml:space="preserve">Second, </w:t>
      </w:r>
      <w:r w:rsidR="00A733F6" w:rsidRPr="000134FB">
        <w:rPr>
          <w:rFonts w:ascii="Times New Roman" w:eastAsia="Calibri" w:hAnsi="Times New Roman" w:cs="Times New Roman"/>
          <w:sz w:val="24"/>
          <w:highlight w:val="yellow"/>
        </w:rPr>
        <w:t xml:space="preserve">this paper focuses on assessing affordability of HUD </w:t>
      </w:r>
      <w:r w:rsidR="00C5581E">
        <w:rPr>
          <w:rFonts w:ascii="Times New Roman" w:eastAsia="Calibri" w:hAnsi="Times New Roman" w:cs="Times New Roman"/>
          <w:sz w:val="24"/>
          <w:highlight w:val="yellow"/>
        </w:rPr>
        <w:t xml:space="preserve">housing </w:t>
      </w:r>
      <w:r w:rsidR="00517A82">
        <w:rPr>
          <w:rFonts w:ascii="Times New Roman" w:eastAsia="Calibri" w:hAnsi="Times New Roman" w:cs="Times New Roman"/>
          <w:sz w:val="24"/>
          <w:highlight w:val="yellow"/>
        </w:rPr>
        <w:t>for</w:t>
      </w:r>
      <w:r w:rsidR="00A733F6" w:rsidRPr="000134FB">
        <w:rPr>
          <w:rFonts w:ascii="Times New Roman" w:eastAsia="Calibri" w:hAnsi="Times New Roman" w:cs="Times New Roman"/>
          <w:sz w:val="24"/>
          <w:highlight w:val="yellow"/>
        </w:rPr>
        <w:t xml:space="preserve"> low-income household</w:t>
      </w:r>
      <w:r w:rsidR="00517A82">
        <w:rPr>
          <w:rFonts w:ascii="Times New Roman" w:eastAsia="Calibri" w:hAnsi="Times New Roman" w:cs="Times New Roman"/>
          <w:sz w:val="24"/>
          <w:highlight w:val="yellow"/>
        </w:rPr>
        <w:t>s</w:t>
      </w:r>
      <w:r w:rsidR="00A733F6" w:rsidRPr="000134FB">
        <w:rPr>
          <w:rFonts w:ascii="Times New Roman" w:eastAsia="Calibri" w:hAnsi="Times New Roman" w:cs="Times New Roman"/>
          <w:sz w:val="24"/>
          <w:highlight w:val="yellow"/>
        </w:rPr>
        <w:t xml:space="preserve"> by integrating transportation costs. However, the </w:t>
      </w:r>
      <w:r w:rsidR="007C2B06" w:rsidRPr="000134FB">
        <w:rPr>
          <w:rFonts w:ascii="Times New Roman" w:eastAsia="Calibri" w:hAnsi="Times New Roman" w:cs="Times New Roman"/>
          <w:sz w:val="24"/>
          <w:highlight w:val="yellow"/>
        </w:rPr>
        <w:t>paper puts its effort</w:t>
      </w:r>
      <w:r w:rsidR="00A733F6" w:rsidRPr="000134FB">
        <w:rPr>
          <w:rFonts w:ascii="Times New Roman" w:eastAsia="Calibri" w:hAnsi="Times New Roman" w:cs="Times New Roman"/>
          <w:sz w:val="24"/>
          <w:highlight w:val="yellow"/>
        </w:rPr>
        <w:t xml:space="preserve"> into measuring transportation costs, while less attention</w:t>
      </w:r>
      <w:r w:rsidR="007C2B06" w:rsidRPr="000134FB">
        <w:rPr>
          <w:rFonts w:ascii="Times New Roman" w:eastAsia="Calibri" w:hAnsi="Times New Roman" w:cs="Times New Roman"/>
          <w:sz w:val="24"/>
          <w:highlight w:val="yellow"/>
        </w:rPr>
        <w:t xml:space="preserve"> is paid to </w:t>
      </w:r>
      <w:r w:rsidR="00A733F6" w:rsidRPr="000134FB">
        <w:rPr>
          <w:rFonts w:ascii="Times New Roman" w:eastAsia="Calibri" w:hAnsi="Times New Roman" w:cs="Times New Roman"/>
          <w:sz w:val="24"/>
          <w:highlight w:val="yellow"/>
        </w:rPr>
        <w:t xml:space="preserve">why this is an important issue in affordability. Data do not exist on housing costs for </w:t>
      </w:r>
      <w:r w:rsidR="00517A82">
        <w:rPr>
          <w:rFonts w:ascii="Times New Roman" w:eastAsia="Calibri" w:hAnsi="Times New Roman" w:cs="Times New Roman"/>
          <w:sz w:val="24"/>
          <w:highlight w:val="yellow"/>
        </w:rPr>
        <w:t xml:space="preserve">most </w:t>
      </w:r>
      <w:r w:rsidR="00A733F6" w:rsidRPr="000134FB">
        <w:rPr>
          <w:rFonts w:ascii="Times New Roman" w:eastAsia="Calibri" w:hAnsi="Times New Roman" w:cs="Times New Roman"/>
          <w:sz w:val="24"/>
          <w:highlight w:val="yellow"/>
        </w:rPr>
        <w:t xml:space="preserve">rental assistance properties, and it is certainly possible that </w:t>
      </w:r>
      <w:r w:rsidR="00517A82">
        <w:rPr>
          <w:rFonts w:ascii="Times New Roman" w:eastAsia="Calibri" w:hAnsi="Times New Roman" w:cs="Times New Roman"/>
          <w:sz w:val="24"/>
          <w:highlight w:val="yellow"/>
        </w:rPr>
        <w:t xml:space="preserve">under programs other than those analyzed in this paper, </w:t>
      </w:r>
      <w:r w:rsidR="00A733F6" w:rsidRPr="000134FB">
        <w:rPr>
          <w:rFonts w:ascii="Times New Roman" w:eastAsia="Calibri" w:hAnsi="Times New Roman" w:cs="Times New Roman"/>
          <w:sz w:val="24"/>
          <w:highlight w:val="yellow"/>
        </w:rPr>
        <w:t>properties in outlying areas have rents that are sufficiently lower to more than compensate for the higher t</w:t>
      </w:r>
      <w:r w:rsidR="000134FB" w:rsidRPr="000134FB">
        <w:rPr>
          <w:rFonts w:ascii="Times New Roman" w:eastAsia="Calibri" w:hAnsi="Times New Roman" w:cs="Times New Roman"/>
          <w:sz w:val="24"/>
          <w:highlight w:val="yellow"/>
        </w:rPr>
        <w:t>ransportation costs.</w:t>
      </w:r>
      <w:r w:rsidR="00A733F6">
        <w:rPr>
          <w:rFonts w:ascii="Times New Roman" w:eastAsia="Calibri" w:hAnsi="Times New Roman" w:cs="Times New Roman"/>
          <w:sz w:val="24"/>
        </w:rPr>
        <w:t xml:space="preserve"> </w:t>
      </w:r>
      <w:r w:rsidR="00A733F6" w:rsidRPr="00A733F6">
        <w:rPr>
          <w:rFonts w:ascii="Times New Roman" w:eastAsia="Calibri" w:hAnsi="Times New Roman" w:cs="Times New Roman"/>
          <w:sz w:val="24"/>
        </w:rPr>
        <w:t xml:space="preserve"> </w:t>
      </w:r>
    </w:p>
    <w:p w:rsidR="002714F9" w:rsidRDefault="00AB37D7" w:rsidP="00C65520">
      <w:pPr>
        <w:spacing w:after="0" w:line="480" w:lineRule="auto"/>
        <w:ind w:firstLine="720"/>
        <w:rPr>
          <w:rFonts w:ascii="Times New Roman" w:eastAsia="Calibri" w:hAnsi="Times New Roman" w:cs="Times New Roman"/>
          <w:sz w:val="24"/>
          <w:highlight w:val="yellow"/>
        </w:rPr>
      </w:pPr>
      <w:r>
        <w:rPr>
          <w:rFonts w:ascii="Times New Roman" w:eastAsia="Calibri" w:hAnsi="Times New Roman" w:cs="Times New Roman"/>
          <w:sz w:val="24"/>
          <w:highlight w:val="yellow"/>
        </w:rPr>
        <w:t>A third</w:t>
      </w:r>
      <w:r w:rsidR="00A733F6" w:rsidRPr="000134FB">
        <w:rPr>
          <w:rFonts w:ascii="Times New Roman" w:eastAsia="Calibri" w:hAnsi="Times New Roman" w:cs="Times New Roman"/>
          <w:sz w:val="24"/>
          <w:highlight w:val="yellow"/>
        </w:rPr>
        <w:t xml:space="preserve"> related limitation is the failure to account for the simultaneous relationship between of housing costs and vehicle ownership. Thus, we cannot </w:t>
      </w:r>
      <w:r w:rsidR="007C2B06" w:rsidRPr="000134FB">
        <w:rPr>
          <w:rFonts w:ascii="Times New Roman" w:eastAsia="Calibri" w:hAnsi="Times New Roman" w:cs="Times New Roman"/>
          <w:sz w:val="24"/>
          <w:highlight w:val="yellow"/>
        </w:rPr>
        <w:t>be sure</w:t>
      </w:r>
      <w:r w:rsidR="00A733F6" w:rsidRPr="000134FB">
        <w:rPr>
          <w:rFonts w:ascii="Times New Roman" w:eastAsia="Calibri" w:hAnsi="Times New Roman" w:cs="Times New Roman"/>
          <w:sz w:val="24"/>
          <w:highlight w:val="yellow"/>
        </w:rPr>
        <w:t xml:space="preserve"> if housing choice </w:t>
      </w:r>
      <w:r w:rsidR="007C2B06" w:rsidRPr="000134FB">
        <w:rPr>
          <w:rFonts w:ascii="Times New Roman" w:eastAsia="Calibri" w:hAnsi="Times New Roman" w:cs="Times New Roman"/>
          <w:sz w:val="24"/>
          <w:highlight w:val="yellow"/>
        </w:rPr>
        <w:t>and living environment cause</w:t>
      </w:r>
      <w:r w:rsidR="00A733F6" w:rsidRPr="000134FB">
        <w:rPr>
          <w:rFonts w:ascii="Times New Roman" w:eastAsia="Calibri" w:hAnsi="Times New Roman" w:cs="Times New Roman"/>
          <w:sz w:val="24"/>
          <w:highlight w:val="yellow"/>
        </w:rPr>
        <w:t xml:space="preserve"> the higher transportation costs, or alternatively</w:t>
      </w:r>
      <w:r w:rsidR="007C2B06" w:rsidRPr="000134FB">
        <w:rPr>
          <w:rFonts w:ascii="Times New Roman" w:eastAsia="Calibri" w:hAnsi="Times New Roman" w:cs="Times New Roman"/>
          <w:sz w:val="24"/>
          <w:highlight w:val="yellow"/>
        </w:rPr>
        <w:t xml:space="preserve"> higher transportation costs affect housing choice and living environment</w:t>
      </w:r>
      <w:r w:rsidR="00A733F6" w:rsidRPr="000134FB">
        <w:rPr>
          <w:rFonts w:ascii="Times New Roman" w:eastAsia="Calibri" w:hAnsi="Times New Roman" w:cs="Times New Roman"/>
          <w:sz w:val="24"/>
          <w:highlight w:val="yellow"/>
        </w:rPr>
        <w:t xml:space="preserve">. It </w:t>
      </w:r>
      <w:r w:rsidR="007C2B06" w:rsidRPr="000134FB">
        <w:rPr>
          <w:rFonts w:ascii="Times New Roman" w:eastAsia="Calibri" w:hAnsi="Times New Roman" w:cs="Times New Roman"/>
          <w:sz w:val="24"/>
          <w:highlight w:val="yellow"/>
        </w:rPr>
        <w:t>is presumably the sum of housing and transportation costs that should be minimized by households, not transportation costs alone.</w:t>
      </w:r>
    </w:p>
    <w:p w:rsidR="002714F9" w:rsidRPr="002714F9" w:rsidRDefault="00AB37D7" w:rsidP="002714F9">
      <w:pPr>
        <w:spacing w:after="0" w:line="480" w:lineRule="auto"/>
        <w:ind w:firstLine="720"/>
        <w:rPr>
          <w:rFonts w:ascii="Times New Roman" w:eastAsia="Calibri" w:hAnsi="Times New Roman" w:cs="Times New Roman"/>
          <w:sz w:val="24"/>
          <w:highlight w:val="yellow"/>
        </w:rPr>
      </w:pPr>
      <w:r>
        <w:rPr>
          <w:rFonts w:ascii="Times New Roman" w:eastAsia="Calibri" w:hAnsi="Times New Roman" w:cs="Times New Roman"/>
          <w:sz w:val="24"/>
          <w:highlight w:val="yellow"/>
        </w:rPr>
        <w:t>Fourth</w:t>
      </w:r>
      <w:r w:rsidR="00A733F6" w:rsidRPr="000134FB">
        <w:rPr>
          <w:rFonts w:ascii="Times New Roman" w:eastAsia="Calibri" w:hAnsi="Times New Roman" w:cs="Times New Roman"/>
          <w:sz w:val="24"/>
          <w:highlight w:val="yellow"/>
        </w:rPr>
        <w:t>, similar to housing costs, vehicle cost</w:t>
      </w:r>
      <w:r w:rsidR="007C2B06" w:rsidRPr="000134FB">
        <w:rPr>
          <w:rFonts w:ascii="Times New Roman" w:eastAsia="Calibri" w:hAnsi="Times New Roman" w:cs="Times New Roman"/>
          <w:sz w:val="24"/>
          <w:highlight w:val="yellow"/>
        </w:rPr>
        <w:t xml:space="preserve">s involve subjective choice and reflect </w:t>
      </w:r>
      <w:r w:rsidR="00A733F6" w:rsidRPr="000134FB">
        <w:rPr>
          <w:rFonts w:ascii="Times New Roman" w:eastAsia="Calibri" w:hAnsi="Times New Roman" w:cs="Times New Roman"/>
          <w:sz w:val="24"/>
          <w:highlight w:val="yellow"/>
        </w:rPr>
        <w:t>heterogeneous personal preference</w:t>
      </w:r>
      <w:r w:rsidR="007C2B06" w:rsidRPr="000134FB">
        <w:rPr>
          <w:rFonts w:ascii="Times New Roman" w:eastAsia="Calibri" w:hAnsi="Times New Roman" w:cs="Times New Roman"/>
          <w:sz w:val="24"/>
          <w:highlight w:val="yellow"/>
        </w:rPr>
        <w:t>s</w:t>
      </w:r>
      <w:r w:rsidR="00A733F6" w:rsidRPr="000134FB">
        <w:rPr>
          <w:rFonts w:ascii="Times New Roman" w:eastAsia="Calibri" w:hAnsi="Times New Roman" w:cs="Times New Roman"/>
          <w:sz w:val="24"/>
          <w:highlight w:val="yellow"/>
        </w:rPr>
        <w:t>. This subjective choice will definitely influence transit trip</w:t>
      </w:r>
      <w:r w:rsidR="007C2B06" w:rsidRPr="000134FB">
        <w:rPr>
          <w:rFonts w:ascii="Times New Roman" w:eastAsia="Calibri" w:hAnsi="Times New Roman" w:cs="Times New Roman"/>
          <w:sz w:val="24"/>
          <w:highlight w:val="yellow"/>
        </w:rPr>
        <w:t>s</w:t>
      </w:r>
      <w:r w:rsidR="00A733F6" w:rsidRPr="000134FB">
        <w:rPr>
          <w:rFonts w:ascii="Times New Roman" w:eastAsia="Calibri" w:hAnsi="Times New Roman" w:cs="Times New Roman"/>
          <w:sz w:val="24"/>
          <w:highlight w:val="yellow"/>
        </w:rPr>
        <w:t xml:space="preserve"> and vehicle ownership, and should be measured on the specific household level. However</w:t>
      </w:r>
      <w:r w:rsidR="002714F9" w:rsidRPr="002714F9">
        <w:rPr>
          <w:rFonts w:ascii="Times New Roman" w:eastAsia="Calibri" w:hAnsi="Times New Roman" w:cs="Times New Roman"/>
          <w:sz w:val="24"/>
          <w:highlight w:val="yellow"/>
        </w:rPr>
        <w:t xml:space="preserve">, </w:t>
      </w:r>
      <w:r w:rsidR="002714F9">
        <w:rPr>
          <w:rFonts w:ascii="Times New Roman" w:eastAsia="Calibri" w:hAnsi="Times New Roman" w:cs="Times New Roman"/>
          <w:sz w:val="24"/>
          <w:highlight w:val="yellow"/>
        </w:rPr>
        <w:t>we</w:t>
      </w:r>
      <w:r w:rsidR="002714F9" w:rsidRPr="002714F9">
        <w:rPr>
          <w:rFonts w:ascii="Times New Roman" w:eastAsia="Calibri" w:hAnsi="Times New Roman" w:cs="Times New Roman"/>
          <w:sz w:val="24"/>
          <w:highlight w:val="yellow"/>
        </w:rPr>
        <w:t xml:space="preserve"> simply do</w:t>
      </w:r>
      <w:r w:rsidR="00D37430">
        <w:rPr>
          <w:rFonts w:ascii="Times New Roman" w:eastAsia="Calibri" w:hAnsi="Times New Roman" w:cs="Times New Roman"/>
          <w:sz w:val="24"/>
          <w:highlight w:val="yellow"/>
        </w:rPr>
        <w:t xml:space="preserve"> not</w:t>
      </w:r>
      <w:r w:rsidR="002714F9" w:rsidRPr="002714F9">
        <w:rPr>
          <w:rFonts w:ascii="Times New Roman" w:eastAsia="Calibri" w:hAnsi="Times New Roman" w:cs="Times New Roman"/>
          <w:sz w:val="24"/>
          <w:highlight w:val="yellow"/>
        </w:rPr>
        <w:t xml:space="preserve"> have data in our 15 region database, and cannot estimate the models </w:t>
      </w:r>
      <w:r w:rsidR="002714F9">
        <w:rPr>
          <w:rFonts w:ascii="Times New Roman" w:eastAsia="Calibri" w:hAnsi="Times New Roman" w:cs="Times New Roman"/>
          <w:sz w:val="24"/>
          <w:highlight w:val="yellow"/>
        </w:rPr>
        <w:t xml:space="preserve">of housing </w:t>
      </w:r>
      <w:r w:rsidR="002714F9">
        <w:rPr>
          <w:rFonts w:ascii="Times New Roman" w:eastAsia="Calibri" w:hAnsi="Times New Roman" w:cs="Times New Roman"/>
          <w:sz w:val="24"/>
          <w:highlight w:val="yellow"/>
        </w:rPr>
        <w:lastRenderedPageBreak/>
        <w:t xml:space="preserve">costs or vehicle choice that incorporate tenant attitudes and preferences. </w:t>
      </w:r>
      <w:r w:rsidR="002714F9" w:rsidRPr="002714F9">
        <w:rPr>
          <w:rFonts w:ascii="Times New Roman" w:eastAsia="Calibri" w:hAnsi="Times New Roman" w:cs="Times New Roman"/>
          <w:sz w:val="24"/>
          <w:highlight w:val="yellow"/>
        </w:rPr>
        <w:t xml:space="preserve">Even if we </w:t>
      </w:r>
      <w:r w:rsidR="002714F9">
        <w:rPr>
          <w:rFonts w:ascii="Times New Roman" w:eastAsia="Calibri" w:hAnsi="Times New Roman" w:cs="Times New Roman"/>
          <w:sz w:val="24"/>
          <w:highlight w:val="yellow"/>
        </w:rPr>
        <w:t>had</w:t>
      </w:r>
      <w:r w:rsidR="002714F9" w:rsidRPr="002714F9">
        <w:rPr>
          <w:rFonts w:ascii="Times New Roman" w:eastAsia="Calibri" w:hAnsi="Times New Roman" w:cs="Times New Roman"/>
          <w:sz w:val="24"/>
          <w:highlight w:val="yellow"/>
        </w:rPr>
        <w:t xml:space="preserve"> such data and could estimate such models, we could not apply them to HUD rental assistance properties for lack of data on the attitudes and preferences of people living in HUD assisted properties. Our research focuses on the costs of a typical household living in a HUD assisted property, not on the range of transportation costs incurred by the range of rental assistance recipients.</w:t>
      </w:r>
    </w:p>
    <w:p w:rsidR="00DD66B8" w:rsidRDefault="00AB37D7" w:rsidP="00C65520">
      <w:pPr>
        <w:spacing w:after="0" w:line="480" w:lineRule="auto"/>
        <w:ind w:firstLine="720"/>
        <w:rPr>
          <w:rFonts w:ascii="Times New Roman" w:eastAsia="Calibri" w:hAnsi="Times New Roman" w:cs="Times New Roman"/>
          <w:sz w:val="24"/>
        </w:rPr>
      </w:pPr>
      <w:r w:rsidRPr="00AB37D7">
        <w:rPr>
          <w:rFonts w:ascii="Times New Roman" w:eastAsia="Calibri" w:hAnsi="Times New Roman" w:cs="Times New Roman"/>
          <w:sz w:val="24"/>
          <w:highlight w:val="yellow"/>
        </w:rPr>
        <w:t>Fifth</w:t>
      </w:r>
      <w:r w:rsidR="007C2B06" w:rsidRPr="00AB37D7">
        <w:rPr>
          <w:rFonts w:ascii="Times New Roman" w:eastAsia="Calibri" w:hAnsi="Times New Roman" w:cs="Times New Roman"/>
          <w:sz w:val="24"/>
          <w:highlight w:val="yellow"/>
        </w:rPr>
        <w:t>,</w:t>
      </w:r>
      <w:r w:rsidR="007C2B06">
        <w:rPr>
          <w:rFonts w:ascii="Times New Roman" w:eastAsia="Calibri" w:hAnsi="Times New Roman" w:cs="Times New Roman"/>
          <w:sz w:val="24"/>
        </w:rPr>
        <w:t xml:space="preserve"> a</w:t>
      </w:r>
      <w:r w:rsidR="0016546F">
        <w:rPr>
          <w:rFonts w:ascii="Times New Roman" w:eastAsia="Calibri" w:hAnsi="Times New Roman" w:cs="Times New Roman"/>
          <w:sz w:val="24"/>
        </w:rPr>
        <w:t>lthough we started with a national sample of 34,000 HUD rental assistance properties, due to lac</w:t>
      </w:r>
      <w:r w:rsidR="00E85171">
        <w:rPr>
          <w:rFonts w:ascii="Times New Roman" w:eastAsia="Calibri" w:hAnsi="Times New Roman" w:cs="Times New Roman"/>
          <w:sz w:val="24"/>
        </w:rPr>
        <w:t>k of built environment and cost</w:t>
      </w:r>
      <w:r w:rsidR="0016546F">
        <w:rPr>
          <w:rFonts w:ascii="Times New Roman" w:eastAsia="Calibri" w:hAnsi="Times New Roman" w:cs="Times New Roman"/>
          <w:sz w:val="24"/>
        </w:rPr>
        <w:t xml:space="preserve"> data availability, we were only able to estimate transportation costs f</w:t>
      </w:r>
      <w:r w:rsidR="00E85171">
        <w:rPr>
          <w:rFonts w:ascii="Times New Roman" w:eastAsia="Calibri" w:hAnsi="Times New Roman" w:cs="Times New Roman"/>
          <w:sz w:val="24"/>
        </w:rPr>
        <w:t>or 18,300 properties</w:t>
      </w:r>
      <w:r w:rsidR="00D37430">
        <w:rPr>
          <w:rFonts w:ascii="Times New Roman" w:eastAsia="Calibri" w:hAnsi="Times New Roman" w:cs="Times New Roman"/>
          <w:sz w:val="24"/>
        </w:rPr>
        <w:t xml:space="preserve">, </w:t>
      </w:r>
      <w:r w:rsidR="00D37430" w:rsidRPr="004D49BA">
        <w:rPr>
          <w:rFonts w:ascii="Times New Roman" w:eastAsia="Calibri" w:hAnsi="Times New Roman" w:cs="Times New Roman"/>
          <w:sz w:val="24"/>
          <w:highlight w:val="yellow"/>
        </w:rPr>
        <w:t xml:space="preserve">and of these, only 8,857 properties </w:t>
      </w:r>
      <w:r w:rsidR="004D49BA" w:rsidRPr="004D49BA">
        <w:rPr>
          <w:rFonts w:ascii="Times New Roman" w:eastAsia="Calibri" w:hAnsi="Times New Roman" w:cs="Times New Roman"/>
          <w:sz w:val="24"/>
          <w:highlight w:val="yellow"/>
        </w:rPr>
        <w:t>participate in the Section 8 Multifamily Housing programs</w:t>
      </w:r>
      <w:r w:rsidR="00E85171" w:rsidRPr="004D49BA">
        <w:rPr>
          <w:rFonts w:ascii="Times New Roman" w:eastAsia="Calibri" w:hAnsi="Times New Roman" w:cs="Times New Roman"/>
          <w:sz w:val="24"/>
          <w:highlight w:val="yellow"/>
        </w:rPr>
        <w:t>.</w:t>
      </w:r>
      <w:r w:rsidR="00E85171">
        <w:rPr>
          <w:rFonts w:ascii="Times New Roman" w:eastAsia="Calibri" w:hAnsi="Times New Roman" w:cs="Times New Roman"/>
          <w:sz w:val="24"/>
        </w:rPr>
        <w:t xml:space="preserve"> These </w:t>
      </w:r>
      <w:r w:rsidR="0016546F">
        <w:rPr>
          <w:rFonts w:ascii="Times New Roman" w:eastAsia="Calibri" w:hAnsi="Times New Roman" w:cs="Times New Roman"/>
          <w:sz w:val="24"/>
        </w:rPr>
        <w:t xml:space="preserve">properties </w:t>
      </w:r>
      <w:r w:rsidR="00E85171">
        <w:rPr>
          <w:rFonts w:ascii="Times New Roman" w:eastAsia="Calibri" w:hAnsi="Times New Roman" w:cs="Times New Roman"/>
          <w:sz w:val="24"/>
        </w:rPr>
        <w:t xml:space="preserve">are </w:t>
      </w:r>
      <w:r w:rsidR="0016546F">
        <w:rPr>
          <w:rFonts w:ascii="Times New Roman" w:eastAsia="Calibri" w:hAnsi="Times New Roman" w:cs="Times New Roman"/>
          <w:sz w:val="24"/>
        </w:rPr>
        <w:t>located in both metropolitan areas and urbanized areas.</w:t>
      </w:r>
      <w:r w:rsidR="00DE6AF6">
        <w:rPr>
          <w:rFonts w:ascii="Times New Roman" w:eastAsia="Calibri" w:hAnsi="Times New Roman" w:cs="Times New Roman"/>
          <w:sz w:val="24"/>
        </w:rPr>
        <w:t xml:space="preserve"> Also, </w:t>
      </w:r>
      <w:r w:rsidR="00DE6AF6" w:rsidRPr="00DE6AF6">
        <w:rPr>
          <w:rFonts w:ascii="Times New Roman" w:eastAsia="Calibri" w:hAnsi="Times New Roman" w:cs="Times New Roman"/>
          <w:sz w:val="24"/>
        </w:rPr>
        <w:t xml:space="preserve">we ultimately dropped </w:t>
      </w:r>
      <w:r w:rsidR="00DE6AF6">
        <w:rPr>
          <w:rFonts w:ascii="Times New Roman" w:eastAsia="Calibri" w:hAnsi="Times New Roman" w:cs="Times New Roman"/>
          <w:sz w:val="24"/>
        </w:rPr>
        <w:t xml:space="preserve">properties in </w:t>
      </w:r>
      <w:r w:rsidR="00DE6AF6" w:rsidRPr="00DE6AF6">
        <w:rPr>
          <w:rFonts w:ascii="Times New Roman" w:eastAsia="Calibri" w:hAnsi="Times New Roman" w:cs="Times New Roman"/>
          <w:sz w:val="24"/>
        </w:rPr>
        <w:t>Massachusetts from our sample due to the lack of local employment dynamics (LED) data, a key data</w:t>
      </w:r>
      <w:r w:rsidR="00DE6AF6">
        <w:rPr>
          <w:rFonts w:ascii="Times New Roman" w:eastAsia="Calibri" w:hAnsi="Times New Roman" w:cs="Times New Roman"/>
          <w:sz w:val="24"/>
        </w:rPr>
        <w:t xml:space="preserve"> </w:t>
      </w:r>
      <w:r w:rsidR="00E85171">
        <w:rPr>
          <w:rFonts w:ascii="Times New Roman" w:eastAsia="Calibri" w:hAnsi="Times New Roman" w:cs="Times New Roman"/>
          <w:sz w:val="24"/>
        </w:rPr>
        <w:t xml:space="preserve">element </w:t>
      </w:r>
      <w:r w:rsidR="00DE6AF6">
        <w:rPr>
          <w:rFonts w:ascii="Times New Roman" w:eastAsia="Calibri" w:hAnsi="Times New Roman" w:cs="Times New Roman"/>
          <w:sz w:val="24"/>
        </w:rPr>
        <w:t>for estimating tr</w:t>
      </w:r>
      <w:r w:rsidR="0088622C">
        <w:rPr>
          <w:rFonts w:ascii="Times New Roman" w:eastAsia="Calibri" w:hAnsi="Times New Roman" w:cs="Times New Roman"/>
          <w:sz w:val="24"/>
        </w:rPr>
        <w:t xml:space="preserve">ansportation models. </w:t>
      </w:r>
    </w:p>
    <w:p w:rsidR="00577E0B" w:rsidRPr="005B1EEC" w:rsidRDefault="00AB37D7" w:rsidP="001E1760">
      <w:pPr>
        <w:spacing w:after="0" w:line="480" w:lineRule="auto"/>
        <w:ind w:firstLine="720"/>
        <w:rPr>
          <w:rFonts w:ascii="Times New Roman" w:eastAsia="Calibri" w:hAnsi="Times New Roman" w:cs="Times New Roman"/>
          <w:sz w:val="24"/>
        </w:rPr>
      </w:pPr>
      <w:r w:rsidRPr="00AB37D7">
        <w:rPr>
          <w:rFonts w:ascii="Times New Roman" w:eastAsia="Calibri" w:hAnsi="Times New Roman" w:cs="Times New Roman"/>
          <w:sz w:val="24"/>
          <w:highlight w:val="yellow"/>
        </w:rPr>
        <w:t>A final</w:t>
      </w:r>
      <w:r w:rsidR="0088622C">
        <w:rPr>
          <w:rFonts w:ascii="Times New Roman" w:eastAsia="Calibri" w:hAnsi="Times New Roman" w:cs="Times New Roman"/>
          <w:sz w:val="24"/>
        </w:rPr>
        <w:t xml:space="preserve"> </w:t>
      </w:r>
      <w:r w:rsidR="0088622C" w:rsidRPr="0088622C">
        <w:rPr>
          <w:rFonts w:ascii="Times New Roman" w:eastAsia="Calibri" w:hAnsi="Times New Roman" w:cs="Times New Roman"/>
          <w:sz w:val="24"/>
        </w:rPr>
        <w:t xml:space="preserve">limitation </w:t>
      </w:r>
      <w:r w:rsidR="0088622C">
        <w:rPr>
          <w:rFonts w:ascii="Times New Roman" w:eastAsia="Calibri" w:hAnsi="Times New Roman" w:cs="Times New Roman"/>
          <w:sz w:val="24"/>
        </w:rPr>
        <w:t>has to do with the transportation costs calculation. Our aver</w:t>
      </w:r>
      <w:r w:rsidR="00DD66B8">
        <w:rPr>
          <w:rFonts w:ascii="Times New Roman" w:eastAsia="Calibri" w:hAnsi="Times New Roman" w:cs="Times New Roman"/>
          <w:sz w:val="24"/>
        </w:rPr>
        <w:t>age fare variable is computed by dividing total fare revenue of transit agencies in urbanized areas by total unlinked passenger trips. We had no control over the mode of transit. Some modes such as commuter rail and ferryboats are more expensive, and perhaps less popular, than</w:t>
      </w:r>
      <w:r w:rsidR="002D39BC">
        <w:rPr>
          <w:rFonts w:ascii="Times New Roman" w:eastAsia="Calibri" w:hAnsi="Times New Roman" w:cs="Times New Roman"/>
          <w:sz w:val="24"/>
        </w:rPr>
        <w:t xml:space="preserve"> bus,</w:t>
      </w:r>
      <w:r w:rsidR="00DD66B8">
        <w:rPr>
          <w:rFonts w:ascii="Times New Roman" w:eastAsia="Calibri" w:hAnsi="Times New Roman" w:cs="Times New Roman"/>
          <w:sz w:val="24"/>
        </w:rPr>
        <w:t xml:space="preserve"> light rail and heavy rail transit. This might be the reason for finding outliers in our sample is terms of average transit fare. Still, we believe that this is the best transit fare data available at the national scale and is more reliable than average base fare data from </w:t>
      </w:r>
      <w:r w:rsidR="00DD66B8" w:rsidRPr="00DD66B8">
        <w:rPr>
          <w:rFonts w:ascii="Times New Roman" w:eastAsia="Calibri" w:hAnsi="Times New Roman" w:cs="Times New Roman"/>
          <w:sz w:val="24"/>
        </w:rPr>
        <w:t>the American Public Transportation Association’s Public Transportation Fare Database</w:t>
      </w:r>
      <w:r w:rsidR="00DD66B8">
        <w:rPr>
          <w:rFonts w:ascii="Times New Roman" w:eastAsia="Calibri" w:hAnsi="Times New Roman" w:cs="Times New Roman"/>
          <w:sz w:val="24"/>
        </w:rPr>
        <w:t xml:space="preserve">. The reason is simple. The </w:t>
      </w:r>
      <w:r w:rsidR="00DD66B8" w:rsidRPr="00DD66B8">
        <w:rPr>
          <w:rFonts w:ascii="Times New Roman" w:eastAsia="Calibri" w:hAnsi="Times New Roman" w:cs="Times New Roman"/>
          <w:sz w:val="24"/>
        </w:rPr>
        <w:t>Public Transportation Fare Database</w:t>
      </w:r>
      <w:r w:rsidR="00DD66B8">
        <w:rPr>
          <w:rFonts w:ascii="Times New Roman" w:eastAsia="Calibri" w:hAnsi="Times New Roman" w:cs="Times New Roman"/>
          <w:sz w:val="24"/>
        </w:rPr>
        <w:t xml:space="preserve"> does not account for transit passes and other forms of transit fare subsidies that apply to many transit users.</w:t>
      </w:r>
    </w:p>
    <w:p w:rsidR="00DE6AF6" w:rsidRPr="00DE6AF6" w:rsidRDefault="00DE6AF6" w:rsidP="00DE6AF6">
      <w:pPr>
        <w:pStyle w:val="Heading1"/>
      </w:pPr>
      <w:r w:rsidRPr="00DE6AF6">
        <w:lastRenderedPageBreak/>
        <w:t>Conclusions</w:t>
      </w:r>
    </w:p>
    <w:p w:rsidR="00763834" w:rsidRDefault="00E85171" w:rsidP="00C65520">
      <w:pPr>
        <w:spacing w:after="0" w:line="480" w:lineRule="auto"/>
        <w:rPr>
          <w:rFonts w:ascii="Times New Roman" w:eastAsia="Calibri" w:hAnsi="Times New Roman" w:cs="Times New Roman"/>
          <w:sz w:val="24"/>
        </w:rPr>
      </w:pPr>
      <w:r>
        <w:rPr>
          <w:rFonts w:ascii="Times New Roman" w:eastAsia="Calibri" w:hAnsi="Times New Roman" w:cs="Times New Roman"/>
          <w:sz w:val="24"/>
        </w:rPr>
        <w:t>This study is the first attempt to evaluate</w:t>
      </w:r>
      <w:r w:rsidR="00676669">
        <w:rPr>
          <w:rFonts w:ascii="Times New Roman" w:eastAsia="Calibri" w:hAnsi="Times New Roman" w:cs="Times New Roman"/>
          <w:sz w:val="24"/>
        </w:rPr>
        <w:t xml:space="preserve"> the affordability </w:t>
      </w:r>
      <w:r w:rsidR="004D49BA">
        <w:rPr>
          <w:rFonts w:ascii="Times New Roman" w:eastAsia="Calibri" w:hAnsi="Times New Roman" w:cs="Times New Roman"/>
          <w:sz w:val="24"/>
        </w:rPr>
        <w:t xml:space="preserve">of </w:t>
      </w:r>
      <w:r w:rsidR="00676669" w:rsidRPr="004D49BA">
        <w:rPr>
          <w:rFonts w:ascii="Times New Roman" w:eastAsia="Calibri" w:hAnsi="Times New Roman" w:cs="Times New Roman"/>
          <w:sz w:val="24"/>
          <w:highlight w:val="yellow"/>
        </w:rPr>
        <w:t xml:space="preserve">HUD </w:t>
      </w:r>
      <w:r w:rsidR="004D49BA" w:rsidRPr="004D49BA">
        <w:rPr>
          <w:rFonts w:ascii="Times New Roman" w:eastAsia="Calibri" w:hAnsi="Times New Roman" w:cs="Times New Roman"/>
          <w:sz w:val="24"/>
          <w:highlight w:val="yellow"/>
        </w:rPr>
        <w:t>Section 8 Multifamily programs</w:t>
      </w:r>
      <w:bookmarkStart w:id="2" w:name="_GoBack"/>
      <w:bookmarkEnd w:id="2"/>
      <w:r w:rsidR="004D49BA">
        <w:rPr>
          <w:rFonts w:ascii="Times New Roman" w:eastAsia="Calibri" w:hAnsi="Times New Roman" w:cs="Times New Roman"/>
          <w:sz w:val="24"/>
        </w:rPr>
        <w:t>.</w:t>
      </w:r>
      <w:r w:rsidR="00676669">
        <w:rPr>
          <w:rFonts w:ascii="Times New Roman" w:eastAsia="Calibri" w:hAnsi="Times New Roman" w:cs="Times New Roman"/>
          <w:sz w:val="24"/>
        </w:rPr>
        <w:t xml:space="preserve"> </w:t>
      </w:r>
      <w:r w:rsidR="00763834" w:rsidRPr="00AD415F">
        <w:rPr>
          <w:rFonts w:ascii="Times New Roman" w:eastAsia="Calibri" w:hAnsi="Times New Roman" w:cs="Times New Roman"/>
          <w:sz w:val="24"/>
        </w:rPr>
        <w:t xml:space="preserve">The high quality of this research results from its unprecedented assemblage of household travel and vehicle ownership data for </w:t>
      </w:r>
      <w:r w:rsidR="00676669">
        <w:rPr>
          <w:rFonts w:ascii="Times New Roman" w:eastAsia="Calibri" w:hAnsi="Times New Roman" w:cs="Times New Roman"/>
          <w:sz w:val="24"/>
        </w:rPr>
        <w:t xml:space="preserve">15 </w:t>
      </w:r>
      <w:r w:rsidR="00763834" w:rsidRPr="00AD415F">
        <w:rPr>
          <w:rFonts w:ascii="Times New Roman" w:eastAsia="Calibri" w:hAnsi="Times New Roman" w:cs="Times New Roman"/>
          <w:sz w:val="24"/>
        </w:rPr>
        <w:t>diverse metropolitan regions; its unprecedented linkage of these data to built environmental and transit data for buffers around individual households; its unprecedented use of multi-level modeling to estimate relationships between the built environment, travel outcomes, and transportation costs, and its unprecedented application of resulting models to housing affordability assessments for low-income households living in HUD subsided rental units.</w:t>
      </w:r>
      <w:r w:rsidR="0016546F">
        <w:rPr>
          <w:rFonts w:ascii="Times New Roman" w:eastAsia="Calibri" w:hAnsi="Times New Roman" w:cs="Times New Roman"/>
          <w:sz w:val="24"/>
        </w:rPr>
        <w:t xml:space="preserve"> Finally, our models are</w:t>
      </w:r>
      <w:r w:rsidR="0016546F" w:rsidRPr="0016546F">
        <w:rPr>
          <w:rFonts w:ascii="Times New Roman" w:eastAsia="Calibri" w:hAnsi="Times New Roman" w:cs="Times New Roman"/>
          <w:sz w:val="24"/>
        </w:rPr>
        <w:t xml:space="preserve"> specific to low-income households, a group that has received little attention in the travel literature.  </w:t>
      </w:r>
    </w:p>
    <w:p w:rsidR="00676669" w:rsidRDefault="00CF49D9" w:rsidP="00C65520">
      <w:pPr>
        <w:spacing w:after="0" w:line="480" w:lineRule="auto"/>
        <w:ind w:firstLine="720"/>
        <w:contextualSpacing/>
        <w:rPr>
          <w:rFonts w:ascii="Times New Roman" w:eastAsia="Calibri" w:hAnsi="Times New Roman" w:cs="Times New Roman"/>
          <w:sz w:val="24"/>
        </w:rPr>
      </w:pPr>
      <w:r>
        <w:rPr>
          <w:rFonts w:ascii="Times New Roman" w:eastAsia="Calibri" w:hAnsi="Times New Roman" w:cs="Times New Roman"/>
          <w:sz w:val="24"/>
        </w:rPr>
        <w:t xml:space="preserve">While the 15 region household travel dataset is proprietary, having been collected and processed over several years, the resulting models (Tables 3 through 7) are available to anyone who might wish to duplicate our results for a specific HUD property or would like to study transportation affordability generally for low-income households. </w:t>
      </w:r>
      <w:r w:rsidR="00676669">
        <w:rPr>
          <w:rFonts w:ascii="Times New Roman" w:eastAsia="Calibri" w:hAnsi="Times New Roman" w:cs="Times New Roman"/>
          <w:sz w:val="24"/>
        </w:rPr>
        <w:t>This evidence-based research</w:t>
      </w:r>
      <w:r w:rsidR="00FD75DF" w:rsidRPr="00FD75DF">
        <w:rPr>
          <w:rFonts w:ascii="Times New Roman" w:eastAsia="Calibri" w:hAnsi="Times New Roman" w:cs="Times New Roman"/>
          <w:sz w:val="24"/>
        </w:rPr>
        <w:t xml:space="preserve"> </w:t>
      </w:r>
      <w:r w:rsidR="0016546F">
        <w:rPr>
          <w:rFonts w:ascii="Times New Roman" w:eastAsia="Calibri" w:hAnsi="Times New Roman" w:cs="Times New Roman"/>
          <w:sz w:val="24"/>
        </w:rPr>
        <w:t>suggests</w:t>
      </w:r>
      <w:r w:rsidR="00FD75DF" w:rsidRPr="00FD75DF">
        <w:rPr>
          <w:rFonts w:ascii="Times New Roman" w:eastAsia="Calibri" w:hAnsi="Times New Roman" w:cs="Times New Roman"/>
          <w:sz w:val="24"/>
        </w:rPr>
        <w:t xml:space="preserve"> that </w:t>
      </w:r>
      <w:r w:rsidR="004D49BA">
        <w:rPr>
          <w:rFonts w:ascii="Times New Roman" w:eastAsia="Calibri" w:hAnsi="Times New Roman" w:cs="Times New Roman"/>
          <w:sz w:val="24"/>
        </w:rPr>
        <w:t xml:space="preserve">these particular </w:t>
      </w:r>
      <w:r w:rsidR="00FD75DF" w:rsidRPr="00FD75DF">
        <w:rPr>
          <w:rFonts w:ascii="Times New Roman" w:eastAsia="Calibri" w:hAnsi="Times New Roman" w:cs="Times New Roman"/>
          <w:sz w:val="24"/>
        </w:rPr>
        <w:t>HUD rental assistance programs, when they subsidize housing in sprawling auto-dependent areas, ar</w:t>
      </w:r>
      <w:r>
        <w:rPr>
          <w:rFonts w:ascii="Times New Roman" w:eastAsia="Calibri" w:hAnsi="Times New Roman" w:cs="Times New Roman"/>
          <w:sz w:val="24"/>
        </w:rPr>
        <w:t>e not holistically affordable</w:t>
      </w:r>
      <w:r w:rsidR="0016546F">
        <w:rPr>
          <w:rFonts w:ascii="Times New Roman" w:eastAsia="Calibri" w:hAnsi="Times New Roman" w:cs="Times New Roman"/>
          <w:sz w:val="24"/>
        </w:rPr>
        <w:t>; it also suggest</w:t>
      </w:r>
      <w:r w:rsidR="00E85171">
        <w:rPr>
          <w:rFonts w:ascii="Times New Roman" w:eastAsia="Calibri" w:hAnsi="Times New Roman" w:cs="Times New Roman"/>
          <w:sz w:val="24"/>
        </w:rPr>
        <w:t>s</w:t>
      </w:r>
      <w:r w:rsidR="0016546F">
        <w:rPr>
          <w:rFonts w:ascii="Times New Roman" w:eastAsia="Calibri" w:hAnsi="Times New Roman" w:cs="Times New Roman"/>
          <w:sz w:val="24"/>
        </w:rPr>
        <w:t xml:space="preserve"> that HUD can provide</w:t>
      </w:r>
      <w:r w:rsidR="00676669" w:rsidRPr="00676669">
        <w:rPr>
          <w:rFonts w:ascii="Times New Roman" w:eastAsia="Calibri" w:hAnsi="Times New Roman" w:cs="Times New Roman"/>
          <w:sz w:val="24"/>
        </w:rPr>
        <w:t xml:space="preserve"> more </w:t>
      </w:r>
      <w:r w:rsidR="0016546F">
        <w:rPr>
          <w:rFonts w:ascii="Times New Roman" w:eastAsia="Calibri" w:hAnsi="Times New Roman" w:cs="Times New Roman"/>
          <w:sz w:val="24"/>
        </w:rPr>
        <w:t xml:space="preserve">affordable units to low income families </w:t>
      </w:r>
      <w:r w:rsidR="00676669" w:rsidRPr="00676669">
        <w:rPr>
          <w:rFonts w:ascii="Times New Roman" w:eastAsia="Calibri" w:hAnsi="Times New Roman" w:cs="Times New Roman"/>
          <w:sz w:val="24"/>
        </w:rPr>
        <w:t xml:space="preserve">by directing subsidies to better (more compact, walkable, and transit-served) locations.  </w:t>
      </w:r>
    </w:p>
    <w:p w:rsidR="00763834" w:rsidRPr="0071026C" w:rsidRDefault="00763834" w:rsidP="0071026C">
      <w:pPr>
        <w:pStyle w:val="Heading1"/>
      </w:pPr>
      <w:r w:rsidRPr="0071026C">
        <w:t>References</w:t>
      </w:r>
    </w:p>
    <w:p w:rsidR="00763834" w:rsidRPr="00763834" w:rsidRDefault="00763834" w:rsidP="00763834">
      <w:pPr>
        <w:spacing w:after="0" w:line="240" w:lineRule="auto"/>
        <w:contextualSpacing/>
        <w:rPr>
          <w:rFonts w:ascii="Times New Roman" w:eastAsia="Calibri" w:hAnsi="Times New Roman" w:cs="Times New Roman"/>
          <w:noProof/>
          <w:sz w:val="24"/>
        </w:rPr>
      </w:pPr>
      <w:r w:rsidRPr="00763834">
        <w:rPr>
          <w:rFonts w:ascii="Times New Roman" w:eastAsia="Times New Roman" w:hAnsi="Times New Roman" w:cs="Times New Roman"/>
          <w:color w:val="000000"/>
          <w:sz w:val="24"/>
        </w:rPr>
        <w:t xml:space="preserve">Abt Associates Inc. (2010). </w:t>
      </w:r>
      <w:r w:rsidRPr="00763834">
        <w:rPr>
          <w:rFonts w:ascii="Times New Roman" w:eastAsia="Calibri" w:hAnsi="Times New Roman" w:cs="Times New Roman"/>
          <w:noProof/>
          <w:sz w:val="24"/>
        </w:rPr>
        <w:t>A Methodological Review of the Cente</w:t>
      </w:r>
      <w:r w:rsidR="00AD37FF">
        <w:rPr>
          <w:rFonts w:ascii="Times New Roman" w:eastAsia="Calibri" w:hAnsi="Times New Roman" w:cs="Times New Roman"/>
          <w:noProof/>
          <w:sz w:val="24"/>
        </w:rPr>
        <w:t xml:space="preserve">r for Neighborhood Technology’s </w:t>
      </w:r>
      <w:r w:rsidRPr="00763834">
        <w:rPr>
          <w:rFonts w:ascii="Times New Roman" w:eastAsia="Calibri" w:hAnsi="Times New Roman" w:cs="Times New Roman"/>
          <w:noProof/>
          <w:sz w:val="24"/>
        </w:rPr>
        <w:t>Housing + Transportation Affordability Index.</w:t>
      </w:r>
    </w:p>
    <w:p w:rsidR="00763834" w:rsidRPr="00763834" w:rsidRDefault="00763834" w:rsidP="00763834">
      <w:pPr>
        <w:spacing w:after="0" w:line="240" w:lineRule="auto"/>
        <w:contextualSpacing/>
        <w:rPr>
          <w:rFonts w:ascii="Times New Roman" w:eastAsia="Calibri" w:hAnsi="Times New Roman" w:cs="Times New Roman"/>
          <w:noProof/>
          <w:sz w:val="24"/>
        </w:rPr>
      </w:pPr>
    </w:p>
    <w:p w:rsidR="001D69C6" w:rsidRDefault="00763834" w:rsidP="008654C9">
      <w:pPr>
        <w:spacing w:after="0" w:line="240" w:lineRule="auto"/>
        <w:contextualSpacing/>
        <w:rPr>
          <w:rFonts w:ascii="Times New Roman" w:eastAsia="Calibri" w:hAnsi="Times New Roman" w:cs="Times New Roman"/>
          <w:noProof/>
          <w:sz w:val="24"/>
        </w:rPr>
      </w:pPr>
      <w:r w:rsidRPr="00763834">
        <w:rPr>
          <w:rFonts w:ascii="Times New Roman" w:eastAsia="Calibri" w:hAnsi="Times New Roman" w:cs="Times New Roman"/>
          <w:bCs/>
          <w:noProof/>
          <w:sz w:val="24"/>
          <w:lang w:val="nb-NO"/>
        </w:rPr>
        <w:t>Badoe, D. A.</w:t>
      </w:r>
      <w:r w:rsidRPr="00763834">
        <w:rPr>
          <w:rFonts w:ascii="Times New Roman" w:eastAsia="Calibri" w:hAnsi="Times New Roman" w:cs="Times New Roman"/>
          <w:noProof/>
          <w:sz w:val="24"/>
          <w:lang w:val="nb-NO"/>
        </w:rPr>
        <w:t xml:space="preserve"> &amp; Miller, E. J. (2000). </w:t>
      </w:r>
      <w:r w:rsidRPr="00763834">
        <w:rPr>
          <w:rFonts w:ascii="Times New Roman" w:eastAsia="Calibri" w:hAnsi="Times New Roman" w:cs="Times New Roman"/>
          <w:noProof/>
          <w:sz w:val="24"/>
        </w:rPr>
        <w:t>Transportation–land-use interaction: Empirical findings in North</w:t>
      </w:r>
      <w:r w:rsidR="008654C9">
        <w:rPr>
          <w:rFonts w:ascii="Times New Roman" w:eastAsia="Calibri" w:hAnsi="Times New Roman" w:cs="Times New Roman"/>
          <w:noProof/>
          <w:sz w:val="24"/>
        </w:rPr>
        <w:t xml:space="preserve"> </w:t>
      </w:r>
      <w:r w:rsidRPr="00763834">
        <w:rPr>
          <w:rFonts w:ascii="Times New Roman" w:eastAsia="Calibri" w:hAnsi="Times New Roman" w:cs="Times New Roman"/>
          <w:noProof/>
          <w:sz w:val="24"/>
        </w:rPr>
        <w:t xml:space="preserve">America, and the implications for modeling. </w:t>
      </w:r>
      <w:r w:rsidRPr="00763834">
        <w:rPr>
          <w:rFonts w:ascii="Times New Roman" w:eastAsia="Calibri" w:hAnsi="Times New Roman" w:cs="Times New Roman"/>
          <w:i/>
          <w:iCs/>
          <w:noProof/>
          <w:sz w:val="24"/>
        </w:rPr>
        <w:t>Transportation Research D</w:t>
      </w:r>
      <w:r w:rsidRPr="00763834">
        <w:rPr>
          <w:rFonts w:ascii="Times New Roman" w:eastAsia="Calibri" w:hAnsi="Times New Roman" w:cs="Times New Roman"/>
          <w:i/>
          <w:noProof/>
          <w:sz w:val="24"/>
        </w:rPr>
        <w:t>, 5</w:t>
      </w:r>
      <w:r w:rsidRPr="00763834">
        <w:rPr>
          <w:rFonts w:ascii="Times New Roman" w:eastAsia="Calibri" w:hAnsi="Times New Roman" w:cs="Times New Roman"/>
          <w:noProof/>
          <w:sz w:val="24"/>
        </w:rPr>
        <w:t>(4), 235-263.</w:t>
      </w:r>
    </w:p>
    <w:p w:rsidR="001D69C6" w:rsidRDefault="001D69C6" w:rsidP="008654C9">
      <w:pPr>
        <w:spacing w:after="0" w:line="240" w:lineRule="auto"/>
        <w:contextualSpacing/>
        <w:rPr>
          <w:rFonts w:ascii="Times New Roman" w:eastAsia="Calibri" w:hAnsi="Times New Roman" w:cs="Times New Roman"/>
          <w:noProof/>
          <w:sz w:val="24"/>
        </w:rPr>
      </w:pPr>
    </w:p>
    <w:p w:rsidR="008654C9" w:rsidRPr="008654C9" w:rsidRDefault="008654C9" w:rsidP="008654C9">
      <w:pPr>
        <w:spacing w:after="0" w:line="240" w:lineRule="auto"/>
        <w:contextualSpacing/>
        <w:rPr>
          <w:rFonts w:ascii="Times New Roman" w:eastAsia="Calibri" w:hAnsi="Times New Roman" w:cs="Times New Roman"/>
          <w:noProof/>
          <w:sz w:val="24"/>
        </w:rPr>
      </w:pPr>
      <w:r w:rsidRPr="00D52085">
        <w:rPr>
          <w:rFonts w:ascii="Times New Roman" w:hAnsi="Times New Roman" w:cs="Times New Roman"/>
          <w:sz w:val="24"/>
          <w:szCs w:val="24"/>
        </w:rPr>
        <w:lastRenderedPageBreak/>
        <w:t>Belsky, E. S., Goodman, J., &amp; Drew, R. (2005, June). Measuring</w:t>
      </w:r>
      <w:r>
        <w:rPr>
          <w:rFonts w:ascii="Times New Roman" w:hAnsi="Times New Roman" w:cs="Times New Roman"/>
          <w:sz w:val="24"/>
          <w:szCs w:val="24"/>
        </w:rPr>
        <w:t xml:space="preserve"> </w:t>
      </w:r>
      <w:r w:rsidRPr="00D52085">
        <w:rPr>
          <w:rFonts w:ascii="Times New Roman" w:hAnsi="Times New Roman" w:cs="Times New Roman"/>
          <w:sz w:val="24"/>
          <w:szCs w:val="24"/>
        </w:rPr>
        <w:t>the nation’s rental housing affordability problems.</w:t>
      </w:r>
      <w:r>
        <w:rPr>
          <w:rFonts w:ascii="Times New Roman" w:hAnsi="Times New Roman" w:cs="Times New Roman"/>
          <w:sz w:val="24"/>
          <w:szCs w:val="24"/>
        </w:rPr>
        <w:t xml:space="preserve"> </w:t>
      </w:r>
      <w:r w:rsidRPr="00D52085">
        <w:rPr>
          <w:rFonts w:ascii="Times New Roman" w:hAnsi="Times New Roman" w:cs="Times New Roman"/>
          <w:i/>
          <w:iCs/>
          <w:sz w:val="24"/>
          <w:szCs w:val="24"/>
        </w:rPr>
        <w:t>The Joint Center for Housing Studies</w:t>
      </w:r>
      <w:r w:rsidRPr="00D52085">
        <w:rPr>
          <w:rFonts w:ascii="Times New Roman" w:hAnsi="Times New Roman" w:cs="Times New Roman"/>
          <w:sz w:val="24"/>
          <w:szCs w:val="24"/>
        </w:rPr>
        <w:t>, Harvard</w:t>
      </w:r>
      <w:r>
        <w:rPr>
          <w:rFonts w:ascii="Times New Roman" w:hAnsi="Times New Roman" w:cs="Times New Roman"/>
          <w:sz w:val="24"/>
          <w:szCs w:val="24"/>
        </w:rPr>
        <w:t xml:space="preserve"> University. </w:t>
      </w:r>
      <w:hyperlink r:id="rId13" w:history="1">
        <w:r w:rsidRPr="00D52085">
          <w:t>http://www.jchs.harvard</w:t>
        </w:r>
      </w:hyperlink>
      <w:r w:rsidRPr="00D52085">
        <w:rPr>
          <w:rFonts w:ascii="Times New Roman" w:hAnsi="Times New Roman" w:cs="Times New Roman"/>
          <w:sz w:val="24"/>
          <w:szCs w:val="24"/>
        </w:rPr>
        <w:t>.</w:t>
      </w:r>
      <w:r>
        <w:rPr>
          <w:rFonts w:ascii="Times New Roman" w:hAnsi="Times New Roman" w:cs="Times New Roman"/>
          <w:sz w:val="24"/>
          <w:szCs w:val="24"/>
        </w:rPr>
        <w:t>edu/publications/rental/rd05</w:t>
      </w:r>
      <w:r w:rsidRPr="00D52085">
        <w:rPr>
          <w:rFonts w:ascii="Times New Roman" w:hAnsi="Times New Roman" w:cs="Times New Roman"/>
          <w:sz w:val="24"/>
          <w:szCs w:val="24"/>
        </w:rPr>
        <w:t>1_measuring_rental_affordability05.pdf</w:t>
      </w:r>
    </w:p>
    <w:p w:rsidR="001D69C6" w:rsidRPr="001D69C6" w:rsidRDefault="001D69C6" w:rsidP="001D69C6">
      <w:pPr>
        <w:autoSpaceDE w:val="0"/>
        <w:autoSpaceDN w:val="0"/>
        <w:adjustRightInd w:val="0"/>
        <w:rPr>
          <w:rFonts w:ascii="Times New Roman" w:hAnsi="Times New Roman" w:cs="Times New Roman"/>
          <w:sz w:val="24"/>
          <w:szCs w:val="24"/>
        </w:rPr>
      </w:pPr>
      <w:r w:rsidRPr="00D52085">
        <w:rPr>
          <w:rFonts w:ascii="Times New Roman" w:hAnsi="Times New Roman" w:cs="Times New Roman"/>
          <w:sz w:val="24"/>
          <w:szCs w:val="24"/>
        </w:rPr>
        <w:t>Bogdon, A. S., &amp; Can, A. (1997). Indicators of local housing</w:t>
      </w:r>
      <w:r>
        <w:rPr>
          <w:rFonts w:ascii="Times New Roman" w:hAnsi="Times New Roman" w:cs="Times New Roman"/>
          <w:sz w:val="24"/>
          <w:szCs w:val="24"/>
        </w:rPr>
        <w:t xml:space="preserve"> </w:t>
      </w:r>
      <w:r w:rsidRPr="00D52085">
        <w:rPr>
          <w:rFonts w:ascii="Times New Roman" w:hAnsi="Times New Roman" w:cs="Times New Roman"/>
          <w:sz w:val="24"/>
          <w:szCs w:val="24"/>
        </w:rPr>
        <w:t>affordability: Comparative and spatial approaches.</w:t>
      </w:r>
      <w:r>
        <w:rPr>
          <w:rFonts w:ascii="Times New Roman" w:hAnsi="Times New Roman" w:cs="Times New Roman"/>
          <w:sz w:val="24"/>
          <w:szCs w:val="24"/>
        </w:rPr>
        <w:t xml:space="preserve"> </w:t>
      </w:r>
      <w:r w:rsidRPr="00D52085">
        <w:rPr>
          <w:rFonts w:ascii="Times New Roman" w:hAnsi="Times New Roman" w:cs="Times New Roman"/>
          <w:i/>
          <w:iCs/>
          <w:sz w:val="24"/>
          <w:szCs w:val="24"/>
        </w:rPr>
        <w:t>Real Estate Economics, 25</w:t>
      </w:r>
      <w:r w:rsidRPr="00D52085">
        <w:rPr>
          <w:rFonts w:ascii="Times New Roman" w:hAnsi="Times New Roman" w:cs="Times New Roman"/>
          <w:sz w:val="24"/>
          <w:szCs w:val="24"/>
        </w:rPr>
        <w:t>(1), 43-60.</w:t>
      </w:r>
    </w:p>
    <w:p w:rsidR="00763834" w:rsidRPr="00763834" w:rsidRDefault="00763834" w:rsidP="00763834">
      <w:pPr>
        <w:spacing w:after="0" w:line="240" w:lineRule="auto"/>
        <w:contextualSpacing/>
        <w:rPr>
          <w:rFonts w:ascii="Times New Roman" w:eastAsia="Calibri" w:hAnsi="Times New Roman" w:cs="Times New Roman"/>
          <w:noProof/>
          <w:sz w:val="24"/>
        </w:rPr>
      </w:pPr>
      <w:r w:rsidRPr="00763834">
        <w:rPr>
          <w:rFonts w:ascii="Times New Roman" w:eastAsia="Calibri" w:hAnsi="Times New Roman" w:cs="Times New Roman"/>
          <w:noProof/>
          <w:sz w:val="24"/>
        </w:rPr>
        <w:t xml:space="preserve">Brownstone, D. (2008). Key relationships between the built environment and VMT. </w:t>
      </w:r>
      <w:r w:rsidRPr="00763834">
        <w:rPr>
          <w:rFonts w:ascii="Times New Roman" w:eastAsia="Calibri" w:hAnsi="Times New Roman" w:cs="Times New Roman"/>
          <w:i/>
          <w:iCs/>
          <w:noProof/>
          <w:sz w:val="24"/>
        </w:rPr>
        <w:t>Transportation Research Board</w:t>
      </w:r>
      <w:r w:rsidRPr="00763834">
        <w:rPr>
          <w:rFonts w:ascii="Times New Roman" w:eastAsia="Calibri" w:hAnsi="Times New Roman" w:cs="Times New Roman"/>
          <w:noProof/>
          <w:sz w:val="24"/>
        </w:rPr>
        <w:t>, 7.</w:t>
      </w:r>
    </w:p>
    <w:p w:rsidR="00763834" w:rsidRPr="00763834" w:rsidRDefault="00763834" w:rsidP="00763834">
      <w:pPr>
        <w:spacing w:after="0" w:line="240" w:lineRule="auto"/>
        <w:contextualSpacing/>
        <w:rPr>
          <w:rFonts w:ascii="Times New Roman" w:eastAsia="Calibri" w:hAnsi="Times New Roman" w:cs="Times New Roman"/>
          <w:noProof/>
          <w:sz w:val="24"/>
        </w:rPr>
      </w:pPr>
    </w:p>
    <w:p w:rsidR="00763834" w:rsidRPr="00763834" w:rsidRDefault="00763834" w:rsidP="00763834">
      <w:pPr>
        <w:spacing w:after="0" w:line="240" w:lineRule="auto"/>
        <w:contextualSpacing/>
        <w:rPr>
          <w:rFonts w:ascii="Times New Roman" w:eastAsia="Calibri" w:hAnsi="Times New Roman" w:cs="Times New Roman"/>
          <w:noProof/>
          <w:sz w:val="24"/>
        </w:rPr>
      </w:pPr>
      <w:r w:rsidRPr="00763834">
        <w:rPr>
          <w:rFonts w:ascii="Times New Roman" w:eastAsia="Calibri" w:hAnsi="Times New Roman" w:cs="Times New Roman"/>
          <w:noProof/>
          <w:sz w:val="24"/>
        </w:rPr>
        <w:t>Cao, X., Mokhtarian, P. L., &amp; Handy, S. L. (2009). Examining the impacts of residential self-selection on</w:t>
      </w:r>
    </w:p>
    <w:p w:rsidR="00763834" w:rsidRPr="00763834" w:rsidRDefault="00763834" w:rsidP="00763834">
      <w:pPr>
        <w:spacing w:after="0" w:line="240" w:lineRule="auto"/>
        <w:contextualSpacing/>
        <w:rPr>
          <w:rFonts w:ascii="Times New Roman" w:eastAsia="Calibri" w:hAnsi="Times New Roman" w:cs="Times New Roman"/>
          <w:noProof/>
          <w:sz w:val="24"/>
        </w:rPr>
      </w:pPr>
      <w:r w:rsidRPr="00763834">
        <w:rPr>
          <w:rFonts w:ascii="Times New Roman" w:eastAsia="Calibri" w:hAnsi="Times New Roman" w:cs="Times New Roman"/>
          <w:noProof/>
          <w:sz w:val="24"/>
        </w:rPr>
        <w:t xml:space="preserve">travel behaviour: A focus on empirical findings. </w:t>
      </w:r>
      <w:r w:rsidRPr="00763834">
        <w:rPr>
          <w:rFonts w:ascii="Times New Roman" w:eastAsia="Calibri" w:hAnsi="Times New Roman" w:cs="Times New Roman"/>
          <w:i/>
          <w:noProof/>
          <w:sz w:val="24"/>
        </w:rPr>
        <w:t>Transport Reviews</w:t>
      </w:r>
      <w:r w:rsidRPr="00763834">
        <w:rPr>
          <w:rFonts w:ascii="Times New Roman" w:eastAsia="Calibri" w:hAnsi="Times New Roman" w:cs="Times New Roman"/>
          <w:noProof/>
          <w:sz w:val="24"/>
        </w:rPr>
        <w:t xml:space="preserve">, </w:t>
      </w:r>
      <w:r w:rsidRPr="00763834">
        <w:rPr>
          <w:rFonts w:ascii="Times New Roman" w:eastAsia="Calibri" w:hAnsi="Times New Roman" w:cs="Times New Roman"/>
          <w:i/>
          <w:noProof/>
          <w:sz w:val="24"/>
        </w:rPr>
        <w:t>29</w:t>
      </w:r>
      <w:r w:rsidRPr="00763834">
        <w:rPr>
          <w:rFonts w:ascii="Times New Roman" w:eastAsia="Calibri" w:hAnsi="Times New Roman" w:cs="Times New Roman"/>
          <w:noProof/>
          <w:sz w:val="24"/>
        </w:rPr>
        <w:t>(3), 359-395.</w:t>
      </w:r>
    </w:p>
    <w:p w:rsidR="00763834" w:rsidRPr="00763834" w:rsidRDefault="00763834" w:rsidP="00763834">
      <w:pPr>
        <w:spacing w:after="0" w:line="240" w:lineRule="auto"/>
        <w:contextualSpacing/>
        <w:rPr>
          <w:rFonts w:ascii="Times New Roman" w:eastAsia="Calibri" w:hAnsi="Times New Roman" w:cs="Times New Roman"/>
          <w:noProof/>
          <w:sz w:val="24"/>
        </w:rPr>
      </w:pPr>
    </w:p>
    <w:p w:rsidR="00763834" w:rsidRPr="00763834" w:rsidRDefault="00763834" w:rsidP="00763834">
      <w:pPr>
        <w:spacing w:after="0" w:line="240" w:lineRule="auto"/>
        <w:contextualSpacing/>
        <w:rPr>
          <w:rFonts w:ascii="Times New Roman" w:eastAsia="Calibri" w:hAnsi="Times New Roman" w:cs="Times New Roman"/>
          <w:noProof/>
          <w:sz w:val="24"/>
        </w:rPr>
      </w:pPr>
      <w:r w:rsidRPr="00763834">
        <w:rPr>
          <w:rFonts w:ascii="Times New Roman" w:eastAsia="Calibri" w:hAnsi="Times New Roman" w:cs="Times New Roman"/>
          <w:noProof/>
          <w:sz w:val="24"/>
        </w:rPr>
        <w:t xml:space="preserve">Center for Neighborhood Technology and Surface Transportation Policy Project (2005). </w:t>
      </w:r>
      <w:r w:rsidRPr="00763834">
        <w:rPr>
          <w:rFonts w:ascii="Times New Roman" w:eastAsia="Calibri" w:hAnsi="Times New Roman" w:cs="Times New Roman"/>
          <w:i/>
          <w:noProof/>
          <w:sz w:val="24"/>
        </w:rPr>
        <w:t>Driven to Spend:Pumping Dollars out of Our Households and Communities</w:t>
      </w:r>
      <w:r w:rsidRPr="00763834">
        <w:rPr>
          <w:rFonts w:ascii="Times New Roman" w:eastAsia="Calibri" w:hAnsi="Times New Roman" w:cs="Times New Roman"/>
          <w:noProof/>
          <w:sz w:val="24"/>
        </w:rPr>
        <w:t>, Washington, D.C.</w:t>
      </w:r>
    </w:p>
    <w:p w:rsidR="00763834" w:rsidRPr="00763834" w:rsidRDefault="00763834" w:rsidP="00763834">
      <w:pPr>
        <w:spacing w:after="0" w:line="240" w:lineRule="auto"/>
        <w:contextualSpacing/>
        <w:rPr>
          <w:rFonts w:ascii="Times New Roman" w:eastAsia="Calibri" w:hAnsi="Times New Roman" w:cs="Times New Roman"/>
          <w:noProof/>
          <w:sz w:val="24"/>
        </w:rPr>
      </w:pPr>
    </w:p>
    <w:p w:rsidR="001D69C6" w:rsidRPr="001D69C6" w:rsidRDefault="001D69C6" w:rsidP="001D69C6">
      <w:pPr>
        <w:rPr>
          <w:rFonts w:ascii="Times New Roman" w:hAnsi="Times New Roman" w:cs="Times New Roman"/>
          <w:b/>
          <w:color w:val="222222"/>
          <w:sz w:val="24"/>
          <w:szCs w:val="24"/>
          <w:shd w:val="clear" w:color="auto" w:fill="FFFFFF"/>
        </w:rPr>
      </w:pPr>
      <w:r w:rsidRPr="00B84F04">
        <w:rPr>
          <w:rFonts w:ascii="Times New Roman" w:hAnsi="Times New Roman" w:cs="Times New Roman"/>
          <w:color w:val="222222"/>
          <w:sz w:val="24"/>
          <w:szCs w:val="24"/>
          <w:shd w:val="clear" w:color="auto" w:fill="FFFFFF"/>
        </w:rPr>
        <w:t xml:space="preserve">Center for Transit-Oriented Development and Center for Neighborhood Technology, </w:t>
      </w:r>
      <w:r>
        <w:rPr>
          <w:rFonts w:ascii="Times New Roman" w:hAnsi="Times New Roman" w:cs="Times New Roman"/>
          <w:color w:val="222222"/>
          <w:sz w:val="24"/>
          <w:szCs w:val="24"/>
          <w:shd w:val="clear" w:color="auto" w:fill="FFFFFF"/>
        </w:rPr>
        <w:t xml:space="preserve">(2006) </w:t>
      </w:r>
      <w:r w:rsidRPr="00B84F04">
        <w:rPr>
          <w:rFonts w:ascii="Times New Roman" w:hAnsi="Times New Roman" w:cs="Times New Roman"/>
          <w:i/>
          <w:color w:val="222222"/>
          <w:sz w:val="24"/>
          <w:szCs w:val="24"/>
          <w:shd w:val="clear" w:color="auto" w:fill="FFFFFF"/>
        </w:rPr>
        <w:t>The Affordability Index: A New Tool for Measuring the True Affordability of a Housing Choice</w:t>
      </w:r>
      <w:r w:rsidRPr="00B84F04">
        <w:rPr>
          <w:rFonts w:ascii="Times New Roman" w:hAnsi="Times New Roman" w:cs="Times New Roman"/>
          <w:color w:val="222222"/>
          <w:sz w:val="24"/>
          <w:szCs w:val="24"/>
          <w:shd w:val="clear" w:color="auto" w:fill="FFFFFF"/>
        </w:rPr>
        <w:t>. Brookings Inst</w:t>
      </w:r>
      <w:r>
        <w:rPr>
          <w:rFonts w:ascii="Times New Roman" w:hAnsi="Times New Roman" w:cs="Times New Roman"/>
          <w:color w:val="222222"/>
          <w:sz w:val="24"/>
          <w:szCs w:val="24"/>
          <w:shd w:val="clear" w:color="auto" w:fill="FFFFFF"/>
        </w:rPr>
        <w:t>itution, Washington, D.C.</w:t>
      </w:r>
    </w:p>
    <w:p w:rsidR="00763834" w:rsidRPr="00763834" w:rsidRDefault="00763834" w:rsidP="00763834">
      <w:pPr>
        <w:spacing w:after="0" w:line="240" w:lineRule="auto"/>
        <w:contextualSpacing/>
        <w:rPr>
          <w:rFonts w:ascii="Times New Roman" w:eastAsia="Calibri" w:hAnsi="Times New Roman" w:cs="Times New Roman"/>
          <w:noProof/>
          <w:sz w:val="24"/>
        </w:rPr>
      </w:pPr>
      <w:r w:rsidRPr="00763834">
        <w:rPr>
          <w:rFonts w:ascii="Times New Roman" w:eastAsia="Calibri" w:hAnsi="Times New Roman" w:cs="Times New Roman"/>
          <w:noProof/>
          <w:sz w:val="24"/>
        </w:rPr>
        <w:t>Cervero, R., &amp; Kockelman, K. (1997). Travel Demand and the 3Ds: Density, Diversity, and Design.</w:t>
      </w:r>
      <w:r w:rsidRPr="00763834">
        <w:rPr>
          <w:rFonts w:ascii="Times New Roman" w:eastAsia="Calibri" w:hAnsi="Times New Roman" w:cs="Times New Roman"/>
          <w:i/>
          <w:noProof/>
          <w:sz w:val="24"/>
        </w:rPr>
        <w:t>Transportation Research Part D: Transport and Environment, 2</w:t>
      </w:r>
      <w:r w:rsidRPr="00763834">
        <w:rPr>
          <w:rFonts w:ascii="Times New Roman" w:eastAsia="Calibri" w:hAnsi="Times New Roman" w:cs="Times New Roman"/>
          <w:noProof/>
          <w:sz w:val="24"/>
        </w:rPr>
        <w:t>(3), 199-219.</w:t>
      </w:r>
    </w:p>
    <w:p w:rsidR="00763834" w:rsidRPr="00763834" w:rsidRDefault="00763834" w:rsidP="00763834">
      <w:pPr>
        <w:spacing w:after="0" w:line="240" w:lineRule="auto"/>
        <w:contextualSpacing/>
        <w:rPr>
          <w:rFonts w:ascii="Times New Roman" w:eastAsia="Calibri" w:hAnsi="Times New Roman" w:cs="Times New Roman"/>
          <w:noProof/>
          <w:sz w:val="24"/>
        </w:rPr>
      </w:pPr>
    </w:p>
    <w:p w:rsidR="00763834" w:rsidRPr="00763834" w:rsidRDefault="00763834" w:rsidP="00763834">
      <w:pPr>
        <w:spacing w:after="0" w:line="240" w:lineRule="auto"/>
        <w:contextualSpacing/>
        <w:rPr>
          <w:rFonts w:ascii="Times New Roman" w:eastAsia="Calibri" w:hAnsi="Times New Roman" w:cs="Times New Roman"/>
          <w:bCs/>
          <w:noProof/>
          <w:sz w:val="24"/>
        </w:rPr>
      </w:pPr>
      <w:r w:rsidRPr="00763834">
        <w:rPr>
          <w:rFonts w:ascii="Times New Roman" w:eastAsia="Calibri" w:hAnsi="Times New Roman" w:cs="Times New Roman"/>
          <w:bCs/>
          <w:noProof/>
          <w:sz w:val="24"/>
        </w:rPr>
        <w:t xml:space="preserve">Cervero, R. (2003). The built environment and travel: Evidence from the United States. </w:t>
      </w:r>
      <w:r w:rsidRPr="00763834">
        <w:rPr>
          <w:rFonts w:ascii="Times New Roman" w:eastAsia="Calibri" w:hAnsi="Times New Roman" w:cs="Times New Roman"/>
          <w:bCs/>
          <w:i/>
          <w:noProof/>
          <w:sz w:val="24"/>
        </w:rPr>
        <w:t>European Journalof Transport and Infrastructure Research</w:t>
      </w:r>
      <w:r w:rsidRPr="00763834">
        <w:rPr>
          <w:rFonts w:ascii="Times New Roman" w:eastAsia="Calibri" w:hAnsi="Times New Roman" w:cs="Times New Roman"/>
          <w:bCs/>
          <w:noProof/>
          <w:sz w:val="24"/>
        </w:rPr>
        <w:t xml:space="preserve">, </w:t>
      </w:r>
      <w:r w:rsidRPr="00763834">
        <w:rPr>
          <w:rFonts w:ascii="Times New Roman" w:eastAsia="Calibri" w:hAnsi="Times New Roman" w:cs="Times New Roman"/>
          <w:bCs/>
          <w:i/>
          <w:noProof/>
          <w:sz w:val="24"/>
        </w:rPr>
        <w:t>3</w:t>
      </w:r>
      <w:r w:rsidRPr="00763834">
        <w:rPr>
          <w:rFonts w:ascii="Times New Roman" w:eastAsia="Calibri" w:hAnsi="Times New Roman" w:cs="Times New Roman"/>
          <w:bCs/>
          <w:noProof/>
          <w:sz w:val="24"/>
        </w:rPr>
        <w:t>(2), 119-137.</w:t>
      </w:r>
    </w:p>
    <w:p w:rsidR="00763834" w:rsidRDefault="00763834" w:rsidP="00763834">
      <w:pPr>
        <w:spacing w:after="0" w:line="240" w:lineRule="auto"/>
        <w:contextualSpacing/>
        <w:rPr>
          <w:rFonts w:ascii="Times New Roman" w:eastAsia="Calibri" w:hAnsi="Times New Roman" w:cs="Times New Roman"/>
          <w:bCs/>
          <w:noProof/>
          <w:sz w:val="24"/>
        </w:rPr>
      </w:pPr>
    </w:p>
    <w:p w:rsidR="00441EFD" w:rsidRPr="00441EFD" w:rsidRDefault="00441EFD" w:rsidP="00763834">
      <w:pPr>
        <w:spacing w:after="0" w:line="240" w:lineRule="auto"/>
        <w:contextualSpacing/>
        <w:rPr>
          <w:rFonts w:ascii="Times New Roman" w:eastAsia="Calibri" w:hAnsi="Times New Roman" w:cs="Times New Roman"/>
          <w:bCs/>
          <w:noProof/>
          <w:sz w:val="24"/>
          <w:szCs w:val="24"/>
        </w:rPr>
      </w:pPr>
      <w:r>
        <w:rPr>
          <w:rFonts w:ascii="Times New Roman" w:eastAsia="Calibri" w:hAnsi="Times New Roman" w:cs="Times New Roman"/>
          <w:bCs/>
          <w:noProof/>
          <w:sz w:val="24"/>
        </w:rPr>
        <w:t xml:space="preserve">Chatman, D. &amp; Voorhoeve, N. (2010). </w:t>
      </w:r>
      <w:r w:rsidRPr="00441EFD">
        <w:rPr>
          <w:rFonts w:ascii="Times New Roman" w:eastAsia="Calibri" w:hAnsi="Times New Roman" w:cs="Times New Roman"/>
          <w:bCs/>
          <w:noProof/>
          <w:sz w:val="24"/>
          <w:szCs w:val="24"/>
        </w:rPr>
        <w:t>The Transportation-Credit Mortgage: A Post-M</w:t>
      </w:r>
      <w:r w:rsidRPr="001E1968">
        <w:rPr>
          <w:rFonts w:ascii="Times New Roman" w:eastAsia="Calibri" w:hAnsi="Times New Roman" w:cs="Times New Roman"/>
          <w:bCs/>
          <w:noProof/>
          <w:sz w:val="24"/>
          <w:szCs w:val="24"/>
        </w:rPr>
        <w:t>ortem</w:t>
      </w:r>
      <w:r>
        <w:rPr>
          <w:rFonts w:eastAsia="Calibri"/>
          <w:b/>
          <w:bCs/>
          <w:noProof/>
        </w:rPr>
        <w:t xml:space="preserve">. </w:t>
      </w:r>
      <w:r w:rsidRPr="001E1968">
        <w:rPr>
          <w:rFonts w:ascii="Times New Roman" w:eastAsia="Calibri" w:hAnsi="Times New Roman" w:cs="Times New Roman"/>
          <w:bCs/>
          <w:i/>
          <w:noProof/>
          <w:sz w:val="24"/>
          <w:szCs w:val="24"/>
        </w:rPr>
        <w:t>Housing Policy Debate.</w:t>
      </w:r>
      <w:r>
        <w:rPr>
          <w:rFonts w:ascii="Times New Roman" w:eastAsia="Calibri" w:hAnsi="Times New Roman" w:cs="Times New Roman"/>
          <w:bCs/>
          <w:noProof/>
          <w:sz w:val="24"/>
          <w:szCs w:val="24"/>
        </w:rPr>
        <w:t xml:space="preserve"> 20(3), 355-382. </w:t>
      </w:r>
    </w:p>
    <w:p w:rsidR="00441EFD" w:rsidRPr="00763834" w:rsidRDefault="00441EFD" w:rsidP="00763834">
      <w:pPr>
        <w:spacing w:after="0" w:line="240" w:lineRule="auto"/>
        <w:contextualSpacing/>
        <w:rPr>
          <w:rFonts w:ascii="Times New Roman" w:eastAsia="Calibri" w:hAnsi="Times New Roman" w:cs="Times New Roman"/>
          <w:bCs/>
          <w:noProof/>
          <w:sz w:val="24"/>
        </w:rPr>
      </w:pPr>
    </w:p>
    <w:p w:rsidR="001D69C6" w:rsidRPr="001D69C6" w:rsidRDefault="001D69C6" w:rsidP="001D69C6">
      <w:pPr>
        <w:rPr>
          <w:rFonts w:ascii="Times New Roman" w:hAnsi="Times New Roman" w:cs="Times New Roman"/>
          <w:color w:val="222222"/>
          <w:sz w:val="24"/>
          <w:szCs w:val="24"/>
          <w:shd w:val="clear" w:color="auto" w:fill="FFFFFF"/>
        </w:rPr>
      </w:pPr>
      <w:r w:rsidRPr="00D52085">
        <w:rPr>
          <w:rFonts w:ascii="Times New Roman" w:hAnsi="Times New Roman" w:cs="Times New Roman"/>
          <w:color w:val="222222"/>
          <w:sz w:val="24"/>
          <w:szCs w:val="24"/>
          <w:shd w:val="clear" w:color="auto" w:fill="FFFFFF"/>
        </w:rPr>
        <w:t>Combs, E. R., Combs, B. A., &amp; Ziebarth, A. C. (1994).</w:t>
      </w:r>
      <w:r>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color w:val="222222"/>
          <w:sz w:val="24"/>
          <w:szCs w:val="24"/>
          <w:shd w:val="clear" w:color="auto" w:fill="FFFFFF"/>
        </w:rPr>
        <w:t>Housing affordability: A comparison of measures.</w:t>
      </w:r>
      <w:r>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i/>
          <w:iCs/>
          <w:color w:val="222222"/>
          <w:sz w:val="24"/>
          <w:szCs w:val="24"/>
          <w:shd w:val="clear" w:color="auto" w:fill="FFFFFF"/>
        </w:rPr>
        <w:t>Consumer Interests Annual, 41</w:t>
      </w:r>
      <w:r w:rsidRPr="00D52085">
        <w:rPr>
          <w:rFonts w:ascii="Times New Roman" w:hAnsi="Times New Roman" w:cs="Times New Roman"/>
          <w:color w:val="222222"/>
          <w:sz w:val="24"/>
          <w:szCs w:val="24"/>
          <w:shd w:val="clear" w:color="auto" w:fill="FFFFFF"/>
        </w:rPr>
        <w:t>, 188-194.</w:t>
      </w:r>
    </w:p>
    <w:p w:rsidR="00763834" w:rsidRPr="00763834" w:rsidRDefault="00763834" w:rsidP="00763834">
      <w:pPr>
        <w:spacing w:after="0" w:line="240" w:lineRule="auto"/>
        <w:contextualSpacing/>
        <w:rPr>
          <w:rFonts w:ascii="Times New Roman" w:eastAsia="Calibri" w:hAnsi="Times New Roman" w:cs="Times New Roman"/>
          <w:bCs/>
          <w:noProof/>
          <w:sz w:val="24"/>
        </w:rPr>
      </w:pPr>
      <w:r w:rsidRPr="00763834">
        <w:rPr>
          <w:rFonts w:ascii="Times New Roman" w:eastAsia="Calibri" w:hAnsi="Times New Roman" w:cs="Times New Roman"/>
          <w:bCs/>
          <w:noProof/>
          <w:sz w:val="24"/>
        </w:rPr>
        <w:t xml:space="preserve">Crane, R. (2000). The influence of urban form on travel: An interpretive review. </w:t>
      </w:r>
      <w:r w:rsidRPr="00763834">
        <w:rPr>
          <w:rFonts w:ascii="Times New Roman" w:eastAsia="Calibri" w:hAnsi="Times New Roman" w:cs="Times New Roman"/>
          <w:bCs/>
          <w:i/>
          <w:iCs/>
          <w:noProof/>
          <w:sz w:val="24"/>
        </w:rPr>
        <w:t>Journal of Planning Literature</w:t>
      </w:r>
      <w:r w:rsidRPr="00763834">
        <w:rPr>
          <w:rFonts w:ascii="Times New Roman" w:eastAsia="Calibri" w:hAnsi="Times New Roman" w:cs="Times New Roman"/>
          <w:bCs/>
          <w:noProof/>
          <w:sz w:val="24"/>
        </w:rPr>
        <w:t xml:space="preserve">, </w:t>
      </w:r>
      <w:r w:rsidRPr="00763834">
        <w:rPr>
          <w:rFonts w:ascii="Times New Roman" w:eastAsia="Calibri" w:hAnsi="Times New Roman" w:cs="Times New Roman"/>
          <w:bCs/>
          <w:i/>
          <w:noProof/>
          <w:sz w:val="24"/>
        </w:rPr>
        <w:t>15</w:t>
      </w:r>
      <w:r w:rsidRPr="00763834">
        <w:rPr>
          <w:rFonts w:ascii="Times New Roman" w:eastAsia="Calibri" w:hAnsi="Times New Roman" w:cs="Times New Roman"/>
          <w:bCs/>
          <w:noProof/>
          <w:sz w:val="24"/>
        </w:rPr>
        <w:t>(1), 3-23.</w:t>
      </w:r>
    </w:p>
    <w:p w:rsidR="00763834" w:rsidRPr="00763834" w:rsidRDefault="00763834" w:rsidP="00763834">
      <w:pPr>
        <w:spacing w:after="0" w:line="240" w:lineRule="auto"/>
        <w:contextualSpacing/>
        <w:rPr>
          <w:rFonts w:ascii="Times New Roman" w:eastAsia="Calibri" w:hAnsi="Times New Roman" w:cs="Times New Roman"/>
          <w:bCs/>
          <w:noProof/>
          <w:sz w:val="24"/>
        </w:rPr>
      </w:pPr>
    </w:p>
    <w:p w:rsidR="001D69C6" w:rsidRPr="001D69C6" w:rsidRDefault="001D69C6" w:rsidP="001D69C6">
      <w:pPr>
        <w:rPr>
          <w:rFonts w:ascii="Times New Roman" w:hAnsi="Times New Roman" w:cs="Times New Roman"/>
          <w:iCs/>
          <w:color w:val="222222"/>
          <w:sz w:val="24"/>
          <w:szCs w:val="24"/>
          <w:shd w:val="clear" w:color="auto" w:fill="FFFFFF"/>
        </w:rPr>
      </w:pPr>
      <w:r w:rsidRPr="00B84F04">
        <w:rPr>
          <w:rFonts w:ascii="Times New Roman" w:hAnsi="Times New Roman" w:cs="Times New Roman"/>
          <w:iCs/>
          <w:color w:val="222222"/>
          <w:sz w:val="24"/>
          <w:szCs w:val="24"/>
          <w:shd w:val="clear" w:color="auto" w:fill="FFFFFF"/>
        </w:rPr>
        <w:t xml:space="preserve">Dietz, R. </w:t>
      </w:r>
      <w:r>
        <w:rPr>
          <w:rFonts w:ascii="Times New Roman" w:hAnsi="Times New Roman" w:cs="Times New Roman"/>
          <w:iCs/>
          <w:color w:val="222222"/>
          <w:sz w:val="24"/>
          <w:szCs w:val="24"/>
          <w:shd w:val="clear" w:color="auto" w:fill="FFFFFF"/>
        </w:rPr>
        <w:t xml:space="preserve">(1993). </w:t>
      </w:r>
      <w:r w:rsidRPr="00B84F04">
        <w:rPr>
          <w:rFonts w:ascii="Times New Roman" w:hAnsi="Times New Roman" w:cs="Times New Roman"/>
          <w:iCs/>
          <w:color w:val="222222"/>
          <w:sz w:val="24"/>
          <w:szCs w:val="24"/>
          <w:shd w:val="clear" w:color="auto" w:fill="FFFFFF"/>
        </w:rPr>
        <w:t xml:space="preserve">A Joint Model of Residential and Employment Location in Urban Areas. </w:t>
      </w:r>
      <w:r w:rsidRPr="00B84F04">
        <w:rPr>
          <w:rFonts w:ascii="Times New Roman" w:hAnsi="Times New Roman" w:cs="Times New Roman"/>
          <w:i/>
          <w:iCs/>
          <w:color w:val="222222"/>
          <w:sz w:val="24"/>
          <w:szCs w:val="24"/>
          <w:shd w:val="clear" w:color="auto" w:fill="FFFFFF"/>
        </w:rPr>
        <w:t>Journal of Urban Economics</w:t>
      </w:r>
      <w:r>
        <w:rPr>
          <w:rFonts w:ascii="Times New Roman" w:hAnsi="Times New Roman" w:cs="Times New Roman"/>
          <w:iCs/>
          <w:color w:val="222222"/>
          <w:sz w:val="24"/>
          <w:szCs w:val="24"/>
          <w:shd w:val="clear" w:color="auto" w:fill="FFFFFF"/>
        </w:rPr>
        <w:t>, Vol. 44</w:t>
      </w:r>
      <w:r w:rsidRPr="00B84F04">
        <w:rPr>
          <w:rFonts w:ascii="Times New Roman" w:hAnsi="Times New Roman" w:cs="Times New Roman"/>
          <w:iCs/>
          <w:color w:val="222222"/>
          <w:sz w:val="24"/>
          <w:szCs w:val="24"/>
          <w:shd w:val="clear" w:color="auto" w:fill="FFFFFF"/>
        </w:rPr>
        <w:t>, pp. 197–215</w:t>
      </w:r>
    </w:p>
    <w:p w:rsidR="00763834" w:rsidRDefault="00763834" w:rsidP="00763834">
      <w:pPr>
        <w:spacing w:after="0" w:line="240" w:lineRule="auto"/>
        <w:contextualSpacing/>
        <w:rPr>
          <w:rFonts w:ascii="Times New Roman" w:eastAsia="Calibri" w:hAnsi="Times New Roman" w:cs="Times New Roman"/>
          <w:bCs/>
          <w:noProof/>
          <w:sz w:val="24"/>
        </w:rPr>
      </w:pPr>
      <w:r w:rsidRPr="00763834">
        <w:rPr>
          <w:rFonts w:ascii="Times New Roman" w:eastAsia="Calibri" w:hAnsi="Times New Roman" w:cs="Times New Roman"/>
          <w:bCs/>
          <w:noProof/>
          <w:sz w:val="24"/>
        </w:rPr>
        <w:t>Econsult Corporation and Penn Institute for Urban Research, (2012). Review of the Center for Neighborhood Technology’s Housing and Transportation Affordability Index (H+T® Affordability Index).</w:t>
      </w:r>
    </w:p>
    <w:p w:rsidR="00A76ABF" w:rsidRDefault="00A76ABF" w:rsidP="00763834">
      <w:pPr>
        <w:spacing w:after="0" w:line="240" w:lineRule="auto"/>
        <w:contextualSpacing/>
        <w:rPr>
          <w:rFonts w:ascii="Times New Roman" w:eastAsia="Calibri" w:hAnsi="Times New Roman" w:cs="Times New Roman"/>
          <w:bCs/>
          <w:noProof/>
          <w:sz w:val="24"/>
        </w:rPr>
      </w:pPr>
    </w:p>
    <w:p w:rsidR="00A76ABF" w:rsidRPr="00A76ABF" w:rsidRDefault="00A76ABF" w:rsidP="00A76ABF">
      <w:pPr>
        <w:spacing w:after="0" w:line="240" w:lineRule="auto"/>
        <w:contextualSpacing/>
        <w:rPr>
          <w:rFonts w:ascii="Times New Roman" w:eastAsia="Calibri" w:hAnsi="Times New Roman" w:cs="Times New Roman"/>
          <w:bCs/>
          <w:noProof/>
          <w:sz w:val="24"/>
        </w:rPr>
      </w:pPr>
      <w:r w:rsidRPr="00A76ABF">
        <w:rPr>
          <w:rFonts w:ascii="Times New Roman" w:eastAsia="Calibri" w:hAnsi="Times New Roman" w:cs="Times New Roman"/>
          <w:bCs/>
          <w:noProof/>
          <w:sz w:val="24"/>
          <w:highlight w:val="yellow"/>
        </w:rPr>
        <w:t>Energy Information Administration (2014). Annual Energy Outlook, Washington, DC: U.S. Department of Energy, Annual Projection to 2040, Table A.3</w:t>
      </w:r>
    </w:p>
    <w:p w:rsidR="00763834" w:rsidRPr="00763834" w:rsidRDefault="00763834" w:rsidP="00763834">
      <w:pPr>
        <w:spacing w:after="0" w:line="240" w:lineRule="auto"/>
        <w:contextualSpacing/>
        <w:rPr>
          <w:rFonts w:ascii="Times New Roman" w:eastAsia="Calibri" w:hAnsi="Times New Roman" w:cs="Times New Roman"/>
          <w:bCs/>
          <w:noProof/>
          <w:sz w:val="24"/>
        </w:rPr>
      </w:pPr>
    </w:p>
    <w:p w:rsidR="00763834" w:rsidRPr="00763834" w:rsidRDefault="00763834" w:rsidP="00763834">
      <w:pPr>
        <w:spacing w:after="0" w:line="240" w:lineRule="auto"/>
        <w:contextualSpacing/>
        <w:rPr>
          <w:rFonts w:ascii="Times New Roman" w:eastAsia="Calibri" w:hAnsi="Times New Roman" w:cs="Times New Roman"/>
          <w:bCs/>
          <w:noProof/>
          <w:sz w:val="24"/>
        </w:rPr>
      </w:pPr>
      <w:r w:rsidRPr="00763834">
        <w:rPr>
          <w:rFonts w:ascii="Times New Roman" w:eastAsia="Calibri" w:hAnsi="Times New Roman" w:cs="Times New Roman"/>
          <w:bCs/>
          <w:noProof/>
          <w:sz w:val="24"/>
        </w:rPr>
        <w:lastRenderedPageBreak/>
        <w:t xml:space="preserve">Ewing, R., &amp; Cervero, R. (2001). Travel and the Built Environment. </w:t>
      </w:r>
      <w:r w:rsidRPr="00763834">
        <w:rPr>
          <w:rFonts w:ascii="Times New Roman" w:eastAsia="Calibri" w:hAnsi="Times New Roman" w:cs="Times New Roman"/>
          <w:bCs/>
          <w:i/>
          <w:noProof/>
          <w:sz w:val="24"/>
        </w:rPr>
        <w:t>Transportation Research Record,, 1780</w:t>
      </w:r>
      <w:r w:rsidRPr="00763834">
        <w:rPr>
          <w:rFonts w:ascii="Times New Roman" w:eastAsia="Calibri" w:hAnsi="Times New Roman" w:cs="Times New Roman"/>
          <w:bCs/>
          <w:noProof/>
          <w:sz w:val="24"/>
        </w:rPr>
        <w:t>, 87-114.</w:t>
      </w:r>
    </w:p>
    <w:p w:rsidR="00763834" w:rsidRPr="00763834" w:rsidRDefault="00763834" w:rsidP="00763834">
      <w:pPr>
        <w:spacing w:after="0" w:line="240" w:lineRule="auto"/>
        <w:contextualSpacing/>
        <w:rPr>
          <w:rFonts w:ascii="Times New Roman" w:eastAsia="Calibri" w:hAnsi="Times New Roman" w:cs="Times New Roman"/>
          <w:bCs/>
          <w:noProof/>
          <w:sz w:val="24"/>
        </w:rPr>
      </w:pPr>
    </w:p>
    <w:p w:rsidR="00763834" w:rsidRPr="00763834" w:rsidRDefault="00763834" w:rsidP="00763834">
      <w:pPr>
        <w:spacing w:after="0" w:line="240" w:lineRule="auto"/>
        <w:contextualSpacing/>
        <w:rPr>
          <w:rFonts w:ascii="Times New Roman" w:eastAsia="Calibri" w:hAnsi="Times New Roman" w:cs="Times New Roman"/>
          <w:bCs/>
          <w:noProof/>
          <w:sz w:val="24"/>
        </w:rPr>
      </w:pPr>
      <w:r w:rsidRPr="00763834">
        <w:rPr>
          <w:rFonts w:ascii="Times New Roman" w:eastAsia="Calibri" w:hAnsi="Times New Roman" w:cs="Times New Roman"/>
          <w:bCs/>
          <w:noProof/>
          <w:sz w:val="24"/>
        </w:rPr>
        <w:t xml:space="preserve">Ewing, R., &amp; Cervero, R. (2010). Travel and the Built Environment:A Meta-Analysis. </w:t>
      </w:r>
      <w:r w:rsidRPr="00763834">
        <w:rPr>
          <w:rFonts w:ascii="Times New Roman" w:eastAsia="Calibri" w:hAnsi="Times New Roman" w:cs="Times New Roman"/>
          <w:bCs/>
          <w:i/>
          <w:noProof/>
          <w:sz w:val="24"/>
        </w:rPr>
        <w:t>Journal of the American Planning Association, 76</w:t>
      </w:r>
      <w:r w:rsidRPr="00763834">
        <w:rPr>
          <w:rFonts w:ascii="Times New Roman" w:eastAsia="Calibri" w:hAnsi="Times New Roman" w:cs="Times New Roman"/>
          <w:bCs/>
          <w:noProof/>
          <w:sz w:val="24"/>
        </w:rPr>
        <w:t xml:space="preserve">(3), 265-296. </w:t>
      </w:r>
    </w:p>
    <w:p w:rsidR="00763834" w:rsidRPr="00763834" w:rsidRDefault="00763834" w:rsidP="00763834">
      <w:pPr>
        <w:spacing w:after="0" w:line="240" w:lineRule="auto"/>
        <w:contextualSpacing/>
        <w:rPr>
          <w:rFonts w:ascii="Times New Roman" w:eastAsia="Calibri" w:hAnsi="Times New Roman" w:cs="Times New Roman"/>
          <w:bCs/>
          <w:noProof/>
          <w:sz w:val="24"/>
        </w:rPr>
      </w:pPr>
    </w:p>
    <w:p w:rsidR="006838CC" w:rsidRDefault="006838CC" w:rsidP="006838CC">
      <w:pPr>
        <w:tabs>
          <w:tab w:val="left" w:pos="360"/>
        </w:tabs>
        <w:rPr>
          <w:rFonts w:ascii="Times New Roman" w:hAnsi="Times New Roman" w:cs="Times New Roman"/>
          <w:sz w:val="24"/>
          <w:szCs w:val="24"/>
        </w:rPr>
      </w:pPr>
      <w:r w:rsidRPr="006838CC">
        <w:rPr>
          <w:rFonts w:ascii="Times New Roman" w:hAnsi="Times New Roman" w:cs="Times New Roman"/>
          <w:sz w:val="24"/>
          <w:szCs w:val="24"/>
        </w:rPr>
        <w:t xml:space="preserve">Ewing, R. &amp; Hamidi, S. (2014) Measuring Urban Sprawl and Validating Sprawl Measures, </w:t>
      </w:r>
      <w:r w:rsidRPr="006838CC">
        <w:rPr>
          <w:rFonts w:ascii="Times New Roman" w:hAnsi="Times New Roman" w:cs="Times New Roman"/>
          <w:i/>
          <w:sz w:val="24"/>
          <w:szCs w:val="24"/>
        </w:rPr>
        <w:t>Technical Report Prepared for the National Cancer Institute, National Institutes of Health, the Ford Foundation, and Smart Growth America</w:t>
      </w:r>
      <w:r w:rsidRPr="006838CC">
        <w:rPr>
          <w:rFonts w:ascii="Times New Roman" w:hAnsi="Times New Roman" w:cs="Times New Roman"/>
          <w:sz w:val="24"/>
          <w:szCs w:val="24"/>
        </w:rPr>
        <w:t xml:space="preserve">. </w:t>
      </w:r>
      <w:hyperlink r:id="rId14" w:history="1">
        <w:r w:rsidRPr="006838CC">
          <w:rPr>
            <w:rFonts w:ascii="Times New Roman" w:hAnsi="Times New Roman" w:cs="Times New Roman"/>
            <w:color w:val="0000FF" w:themeColor="hyperlink"/>
            <w:sz w:val="24"/>
            <w:szCs w:val="24"/>
            <w:u w:val="single"/>
          </w:rPr>
          <w:t>http://gis.cancer.gov/tools/urban-sprawl</w:t>
        </w:r>
      </w:hyperlink>
      <w:r w:rsidRPr="006838CC">
        <w:rPr>
          <w:rFonts w:ascii="Times New Roman" w:hAnsi="Times New Roman" w:cs="Times New Roman"/>
          <w:sz w:val="24"/>
          <w:szCs w:val="24"/>
        </w:rPr>
        <w:t xml:space="preserve"> (</w:t>
      </w:r>
      <w:r>
        <w:rPr>
          <w:rFonts w:ascii="Times New Roman" w:hAnsi="Times New Roman" w:cs="Times New Roman"/>
          <w:sz w:val="24"/>
          <w:szCs w:val="24"/>
        </w:rPr>
        <w:t>Accessed January 5, 2015</w:t>
      </w:r>
      <w:r w:rsidRPr="006838CC">
        <w:rPr>
          <w:rFonts w:ascii="Times New Roman" w:hAnsi="Times New Roman" w:cs="Times New Roman"/>
          <w:sz w:val="24"/>
          <w:szCs w:val="24"/>
        </w:rPr>
        <w:t>).</w:t>
      </w:r>
    </w:p>
    <w:p w:rsidR="00654F94" w:rsidRPr="006838CC" w:rsidRDefault="00654F94" w:rsidP="006838CC">
      <w:pPr>
        <w:tabs>
          <w:tab w:val="left" w:pos="360"/>
        </w:tabs>
        <w:rPr>
          <w:rFonts w:ascii="Times New Roman" w:hAnsi="Times New Roman" w:cs="Times New Roman"/>
          <w:sz w:val="24"/>
          <w:szCs w:val="24"/>
        </w:rPr>
      </w:pPr>
      <w:r w:rsidRPr="00654F94">
        <w:rPr>
          <w:rFonts w:ascii="Times New Roman" w:hAnsi="Times New Roman" w:cs="Times New Roman"/>
          <w:sz w:val="24"/>
          <w:szCs w:val="24"/>
          <w:highlight w:val="yellow"/>
        </w:rPr>
        <w:t>Ewing, R., Tian, G., Goates, J. P., Zhang, M., Greenwald, M. J., Joyce, A., ... &amp; Greene, W. (2014). Varying influences of the built environment on household travel in 15 diverse regions of the United States. </w:t>
      </w:r>
      <w:r w:rsidRPr="00654F94">
        <w:rPr>
          <w:rFonts w:ascii="Times New Roman" w:hAnsi="Times New Roman" w:cs="Times New Roman"/>
          <w:i/>
          <w:sz w:val="24"/>
          <w:szCs w:val="24"/>
          <w:highlight w:val="yellow"/>
        </w:rPr>
        <w:t>Urban Studies</w:t>
      </w:r>
      <w:r w:rsidRPr="00654F94">
        <w:rPr>
          <w:rFonts w:ascii="Times New Roman" w:hAnsi="Times New Roman" w:cs="Times New Roman"/>
          <w:sz w:val="24"/>
          <w:szCs w:val="24"/>
          <w:highlight w:val="yellow"/>
        </w:rPr>
        <w:t>, 0042098014560991.</w:t>
      </w:r>
    </w:p>
    <w:p w:rsidR="00763834" w:rsidRPr="00763834" w:rsidRDefault="00763834" w:rsidP="00763834">
      <w:pPr>
        <w:spacing w:after="0" w:line="240" w:lineRule="auto"/>
        <w:contextualSpacing/>
        <w:rPr>
          <w:rFonts w:ascii="Times New Roman" w:eastAsia="Calibri" w:hAnsi="Times New Roman" w:cs="Times New Roman"/>
          <w:bCs/>
          <w:noProof/>
          <w:sz w:val="24"/>
        </w:rPr>
      </w:pPr>
      <w:r w:rsidRPr="00763834">
        <w:rPr>
          <w:rFonts w:ascii="Times New Roman" w:eastAsia="Calibri" w:hAnsi="Times New Roman" w:cs="Times New Roman"/>
          <w:bCs/>
          <w:noProof/>
          <w:sz w:val="24"/>
        </w:rPr>
        <w:t xml:space="preserve">Handy, S. L. (2005). </w:t>
      </w:r>
      <w:r w:rsidRPr="00763834">
        <w:rPr>
          <w:rFonts w:ascii="Times New Roman" w:eastAsia="Calibri" w:hAnsi="Times New Roman" w:cs="Times New Roman"/>
          <w:bCs/>
          <w:i/>
          <w:noProof/>
          <w:sz w:val="24"/>
        </w:rPr>
        <w:t>Critical assessment of the literature on the relationships among transportation, land use, and physical activity. (Special Report 282: Does the built environment influence physical activity?Examining the evidence</w:t>
      </w:r>
      <w:r w:rsidRPr="00763834">
        <w:rPr>
          <w:rFonts w:ascii="Times New Roman" w:eastAsia="Calibri" w:hAnsi="Times New Roman" w:cs="Times New Roman"/>
          <w:bCs/>
          <w:noProof/>
          <w:sz w:val="24"/>
        </w:rPr>
        <w:t xml:space="preserve">.) Washington, DC: Transportation Research Board and Institute of MedicineCommittee on Physical Activity, Health, Transportation, and Land Use. </w:t>
      </w:r>
    </w:p>
    <w:p w:rsidR="00763834" w:rsidRPr="00763834" w:rsidRDefault="00763834" w:rsidP="00763834">
      <w:pPr>
        <w:spacing w:after="0" w:line="240" w:lineRule="auto"/>
        <w:contextualSpacing/>
        <w:rPr>
          <w:rFonts w:ascii="Times New Roman" w:eastAsia="Calibri" w:hAnsi="Times New Roman" w:cs="Times New Roman"/>
          <w:bCs/>
          <w:noProof/>
          <w:sz w:val="24"/>
        </w:rPr>
      </w:pPr>
    </w:p>
    <w:p w:rsidR="000E7A8B" w:rsidRDefault="000E7A8B" w:rsidP="000E7A8B">
      <w:pPr>
        <w:spacing w:after="0" w:line="240" w:lineRule="auto"/>
        <w:contextualSpacing/>
        <w:rPr>
          <w:rFonts w:ascii="Times New Roman" w:eastAsia="Calibri" w:hAnsi="Times New Roman" w:cs="Times New Roman"/>
          <w:bCs/>
          <w:noProof/>
          <w:sz w:val="24"/>
        </w:rPr>
      </w:pPr>
      <w:r w:rsidRPr="000E7A8B">
        <w:rPr>
          <w:rFonts w:ascii="Times New Roman" w:eastAsia="Calibri" w:hAnsi="Times New Roman" w:cs="Times New Roman"/>
          <w:bCs/>
          <w:noProof/>
          <w:sz w:val="24"/>
        </w:rPr>
        <w:t xml:space="preserve">Greene WH (2012) </w:t>
      </w:r>
      <w:r w:rsidRPr="000E7A8B">
        <w:rPr>
          <w:rFonts w:ascii="Times New Roman" w:eastAsia="Calibri" w:hAnsi="Times New Roman" w:cs="Times New Roman"/>
          <w:bCs/>
          <w:i/>
          <w:noProof/>
          <w:sz w:val="24"/>
        </w:rPr>
        <w:t>Econometric Analysis</w:t>
      </w:r>
      <w:r>
        <w:rPr>
          <w:rFonts w:ascii="Times New Roman" w:eastAsia="Calibri" w:hAnsi="Times New Roman" w:cs="Times New Roman"/>
          <w:bCs/>
          <w:noProof/>
          <w:sz w:val="24"/>
        </w:rPr>
        <w:t xml:space="preserve">. New </w:t>
      </w:r>
      <w:r w:rsidRPr="000E7A8B">
        <w:rPr>
          <w:rFonts w:ascii="Times New Roman" w:eastAsia="Calibri" w:hAnsi="Times New Roman" w:cs="Times New Roman"/>
          <w:bCs/>
          <w:noProof/>
          <w:sz w:val="24"/>
        </w:rPr>
        <w:t>York: Prentice Hall</w:t>
      </w:r>
    </w:p>
    <w:p w:rsidR="000E7A8B" w:rsidRDefault="000E7A8B" w:rsidP="000E7A8B">
      <w:pPr>
        <w:spacing w:after="0" w:line="240" w:lineRule="auto"/>
        <w:contextualSpacing/>
        <w:rPr>
          <w:rFonts w:ascii="Times New Roman" w:eastAsia="Calibri" w:hAnsi="Times New Roman" w:cs="Times New Roman"/>
          <w:bCs/>
          <w:noProof/>
          <w:sz w:val="24"/>
        </w:rPr>
      </w:pPr>
    </w:p>
    <w:p w:rsidR="00763834" w:rsidRPr="00763834" w:rsidRDefault="00763834" w:rsidP="00763834">
      <w:pPr>
        <w:spacing w:after="0" w:line="240" w:lineRule="auto"/>
        <w:contextualSpacing/>
        <w:rPr>
          <w:rFonts w:ascii="Times New Roman" w:eastAsia="Calibri" w:hAnsi="Times New Roman" w:cs="Times New Roman"/>
          <w:bCs/>
          <w:noProof/>
          <w:sz w:val="24"/>
        </w:rPr>
      </w:pPr>
      <w:r w:rsidRPr="00763834">
        <w:rPr>
          <w:rFonts w:ascii="Times New Roman" w:eastAsia="Calibri" w:hAnsi="Times New Roman" w:cs="Times New Roman"/>
          <w:bCs/>
          <w:noProof/>
          <w:sz w:val="24"/>
        </w:rPr>
        <w:t>Heath, G. W.,</w:t>
      </w:r>
      <w:r w:rsidRPr="00763834">
        <w:rPr>
          <w:rFonts w:ascii="Times New Roman" w:eastAsia="Calibri" w:hAnsi="Times New Roman" w:cs="Times New Roman"/>
          <w:b/>
          <w:bCs/>
          <w:noProof/>
          <w:sz w:val="24"/>
        </w:rPr>
        <w:t xml:space="preserve"> </w:t>
      </w:r>
      <w:r w:rsidRPr="00763834">
        <w:rPr>
          <w:rFonts w:ascii="Times New Roman" w:eastAsia="Calibri" w:hAnsi="Times New Roman" w:cs="Times New Roman"/>
          <w:bCs/>
          <w:noProof/>
          <w:sz w:val="24"/>
        </w:rPr>
        <w:t xml:space="preserve">Brownson, R. C., Kruger, J., Miles, R., Powell, K. E., Ramsey, L. T., &amp; the Task Force on Community Preventive Services. (2006). The effectiveness of urban design and land use and transport policies and practices to increase physical activity: A systematic review. </w:t>
      </w:r>
      <w:r w:rsidRPr="00763834">
        <w:rPr>
          <w:rFonts w:ascii="Times New Roman" w:eastAsia="Calibri" w:hAnsi="Times New Roman" w:cs="Times New Roman"/>
          <w:bCs/>
          <w:i/>
          <w:noProof/>
          <w:sz w:val="24"/>
        </w:rPr>
        <w:t>Journal of Physical Activity and Health</w:t>
      </w:r>
      <w:r w:rsidRPr="00763834">
        <w:rPr>
          <w:rFonts w:ascii="Times New Roman" w:eastAsia="Calibri" w:hAnsi="Times New Roman" w:cs="Times New Roman"/>
          <w:bCs/>
          <w:noProof/>
          <w:sz w:val="24"/>
        </w:rPr>
        <w:t xml:space="preserve">, </w:t>
      </w:r>
      <w:r w:rsidRPr="00763834">
        <w:rPr>
          <w:rFonts w:ascii="Times New Roman" w:eastAsia="Calibri" w:hAnsi="Times New Roman" w:cs="Times New Roman"/>
          <w:bCs/>
          <w:i/>
          <w:noProof/>
          <w:sz w:val="24"/>
        </w:rPr>
        <w:t>3</w:t>
      </w:r>
      <w:r w:rsidRPr="00763834">
        <w:rPr>
          <w:rFonts w:ascii="Times New Roman" w:eastAsia="Calibri" w:hAnsi="Times New Roman" w:cs="Times New Roman"/>
          <w:bCs/>
          <w:noProof/>
          <w:sz w:val="24"/>
        </w:rPr>
        <w:t xml:space="preserve">(1), 55-76. </w:t>
      </w:r>
    </w:p>
    <w:p w:rsidR="00763834" w:rsidRPr="00763834" w:rsidRDefault="00763834" w:rsidP="00763834">
      <w:pPr>
        <w:spacing w:after="0" w:line="240" w:lineRule="auto"/>
        <w:contextualSpacing/>
        <w:rPr>
          <w:rFonts w:ascii="Times New Roman" w:eastAsia="Calibri" w:hAnsi="Times New Roman" w:cs="Times New Roman"/>
          <w:bCs/>
          <w:noProof/>
          <w:sz w:val="24"/>
        </w:rPr>
      </w:pPr>
    </w:p>
    <w:p w:rsidR="00ED57CE" w:rsidRDefault="00ED57CE" w:rsidP="00ED57CE">
      <w:pPr>
        <w:autoSpaceDE w:val="0"/>
        <w:autoSpaceDN w:val="0"/>
        <w:adjustRightInd w:val="0"/>
        <w:spacing w:line="240" w:lineRule="auto"/>
        <w:rPr>
          <w:rFonts w:ascii="Times New Roman" w:hAnsi="Times New Roman" w:cs="Times New Roman"/>
          <w:sz w:val="24"/>
          <w:szCs w:val="24"/>
        </w:rPr>
      </w:pPr>
      <w:r w:rsidRPr="00ED57CE">
        <w:rPr>
          <w:rFonts w:ascii="Times New Roman" w:hAnsi="Times New Roman" w:cs="Times New Roman"/>
          <w:sz w:val="24"/>
          <w:szCs w:val="24"/>
        </w:rPr>
        <w:t>Hilbe JM (2011</w:t>
      </w:r>
      <w:r>
        <w:rPr>
          <w:rFonts w:ascii="Times New Roman" w:hAnsi="Times New Roman" w:cs="Times New Roman"/>
          <w:sz w:val="24"/>
          <w:szCs w:val="24"/>
        </w:rPr>
        <w:t xml:space="preserve">) </w:t>
      </w:r>
      <w:r w:rsidRPr="00ED57CE">
        <w:rPr>
          <w:rFonts w:ascii="Times New Roman" w:hAnsi="Times New Roman" w:cs="Times New Roman"/>
          <w:i/>
          <w:sz w:val="24"/>
          <w:szCs w:val="24"/>
        </w:rPr>
        <w:t>Negative Binomial Regression.</w:t>
      </w:r>
      <w:r>
        <w:rPr>
          <w:rFonts w:ascii="Times New Roman" w:hAnsi="Times New Roman" w:cs="Times New Roman"/>
          <w:sz w:val="24"/>
          <w:szCs w:val="24"/>
        </w:rPr>
        <w:t xml:space="preserve"> </w:t>
      </w:r>
      <w:r w:rsidRPr="00ED57CE">
        <w:rPr>
          <w:rFonts w:ascii="Times New Roman" w:hAnsi="Times New Roman" w:cs="Times New Roman"/>
          <w:sz w:val="24"/>
          <w:szCs w:val="24"/>
        </w:rPr>
        <w:t>Cambridge: Cambridge University Press.</w:t>
      </w:r>
    </w:p>
    <w:p w:rsidR="001D69C6" w:rsidRPr="001D69C6" w:rsidRDefault="001D69C6" w:rsidP="001D69C6">
      <w:pPr>
        <w:autoSpaceDE w:val="0"/>
        <w:autoSpaceDN w:val="0"/>
        <w:adjustRightInd w:val="0"/>
        <w:spacing w:line="240" w:lineRule="auto"/>
        <w:rPr>
          <w:rFonts w:ascii="Times New Roman" w:hAnsi="Times New Roman" w:cs="Times New Roman"/>
          <w:sz w:val="24"/>
          <w:szCs w:val="24"/>
        </w:rPr>
      </w:pPr>
      <w:r w:rsidRPr="00E50389">
        <w:rPr>
          <w:rFonts w:ascii="Times New Roman" w:hAnsi="Times New Roman" w:cs="Times New Roman"/>
          <w:sz w:val="24"/>
          <w:szCs w:val="24"/>
        </w:rPr>
        <w:t>Holtzclaw, J., Clear, R., Dittmar, H., Goldstein, D., &amp; Haas, P. (2002). Location efficiency: Neighborhood and socio-economic characteristics determine auto ownership and use-studies in Chicago, Los Angeles and San Francisco.</w:t>
      </w:r>
      <w:r>
        <w:rPr>
          <w:rFonts w:ascii="Times New Roman" w:hAnsi="Times New Roman" w:cs="Times New Roman"/>
          <w:sz w:val="24"/>
          <w:szCs w:val="24"/>
        </w:rPr>
        <w:t xml:space="preserve"> </w:t>
      </w:r>
      <w:r w:rsidRPr="00E50389">
        <w:rPr>
          <w:rFonts w:ascii="Times New Roman" w:hAnsi="Times New Roman" w:cs="Times New Roman"/>
          <w:i/>
          <w:iCs/>
          <w:sz w:val="24"/>
          <w:szCs w:val="24"/>
        </w:rPr>
        <w:t>Transportation Planning and Technology</w:t>
      </w:r>
      <w:r w:rsidRPr="00E50389">
        <w:rPr>
          <w:rFonts w:ascii="Times New Roman" w:hAnsi="Times New Roman" w:cs="Times New Roman"/>
          <w:sz w:val="24"/>
          <w:szCs w:val="24"/>
        </w:rPr>
        <w:t>, </w:t>
      </w:r>
      <w:r w:rsidRPr="00E50389">
        <w:rPr>
          <w:rFonts w:ascii="Times New Roman" w:hAnsi="Times New Roman" w:cs="Times New Roman"/>
          <w:i/>
          <w:iCs/>
          <w:sz w:val="24"/>
          <w:szCs w:val="24"/>
        </w:rPr>
        <w:t>25</w:t>
      </w:r>
      <w:r w:rsidRPr="00E50389">
        <w:rPr>
          <w:rFonts w:ascii="Times New Roman" w:hAnsi="Times New Roman" w:cs="Times New Roman"/>
          <w:sz w:val="24"/>
          <w:szCs w:val="24"/>
        </w:rPr>
        <w:t xml:space="preserve">(1), 1-27. </w:t>
      </w:r>
    </w:p>
    <w:p w:rsidR="00ED57CE" w:rsidRDefault="00ED57CE" w:rsidP="00ED57CE">
      <w:pPr>
        <w:rPr>
          <w:rFonts w:ascii="Times New Roman" w:hAnsi="Times New Roman" w:cs="Times New Roman"/>
          <w:color w:val="222222"/>
          <w:sz w:val="24"/>
          <w:szCs w:val="24"/>
          <w:shd w:val="clear" w:color="auto" w:fill="FFFFFF"/>
        </w:rPr>
      </w:pPr>
      <w:r w:rsidRPr="00ED57CE">
        <w:rPr>
          <w:rFonts w:ascii="Times New Roman" w:hAnsi="Times New Roman" w:cs="Times New Roman"/>
          <w:color w:val="222222"/>
          <w:sz w:val="24"/>
          <w:szCs w:val="24"/>
          <w:shd w:val="clear" w:color="auto" w:fill="FFFFFF"/>
        </w:rPr>
        <w:t xml:space="preserve">Jain </w:t>
      </w:r>
      <w:r>
        <w:rPr>
          <w:rFonts w:ascii="Times New Roman" w:hAnsi="Times New Roman" w:cs="Times New Roman"/>
          <w:color w:val="222222"/>
          <w:sz w:val="24"/>
          <w:szCs w:val="24"/>
          <w:shd w:val="clear" w:color="auto" w:fill="FFFFFF"/>
        </w:rPr>
        <w:t xml:space="preserve">R. </w:t>
      </w:r>
      <w:r w:rsidRPr="00ED57CE">
        <w:rPr>
          <w:rFonts w:ascii="Times New Roman" w:hAnsi="Times New Roman" w:cs="Times New Roman"/>
          <w:color w:val="222222"/>
          <w:sz w:val="24"/>
          <w:szCs w:val="24"/>
          <w:shd w:val="clear" w:color="auto" w:fill="FFFFFF"/>
        </w:rPr>
        <w:t>&amp; Brecher</w:t>
      </w:r>
      <w:r>
        <w:rPr>
          <w:rFonts w:ascii="Times New Roman" w:hAnsi="Times New Roman" w:cs="Times New Roman"/>
          <w:color w:val="222222"/>
          <w:sz w:val="24"/>
          <w:szCs w:val="24"/>
          <w:shd w:val="clear" w:color="auto" w:fill="FFFFFF"/>
        </w:rPr>
        <w:t>, C. (2014).</w:t>
      </w:r>
      <w:r w:rsidRPr="00ED57CE">
        <w:rPr>
          <w:rFonts w:ascii="Times New Roman" w:hAnsi="Times New Roman" w:cs="Times New Roman"/>
          <w:color w:val="222222"/>
          <w:sz w:val="24"/>
          <w:szCs w:val="24"/>
          <w:shd w:val="clear" w:color="auto" w:fill="FFFFFF"/>
        </w:rPr>
        <w:t xml:space="preserve"> Housing</w:t>
      </w:r>
      <w:r>
        <w:rPr>
          <w:rFonts w:ascii="Times New Roman" w:hAnsi="Times New Roman" w:cs="Times New Roman"/>
          <w:color w:val="222222"/>
          <w:sz w:val="24"/>
          <w:szCs w:val="24"/>
          <w:shd w:val="clear" w:color="auto" w:fill="FFFFFF"/>
        </w:rPr>
        <w:t xml:space="preserve"> Affordability Versus Location </w:t>
      </w:r>
      <w:r w:rsidRPr="00ED57CE">
        <w:rPr>
          <w:rFonts w:ascii="Times New Roman" w:hAnsi="Times New Roman" w:cs="Times New Roman"/>
          <w:color w:val="222222"/>
          <w:sz w:val="24"/>
          <w:szCs w:val="24"/>
          <w:shd w:val="clear" w:color="auto" w:fill="FFFFFF"/>
        </w:rPr>
        <w:t>Affordability</w:t>
      </w:r>
      <w:r>
        <w:rPr>
          <w:rFonts w:ascii="Times New Roman" w:hAnsi="Times New Roman" w:cs="Times New Roman"/>
          <w:color w:val="222222"/>
          <w:sz w:val="24"/>
          <w:szCs w:val="24"/>
          <w:shd w:val="clear" w:color="auto" w:fill="FFFFFF"/>
        </w:rPr>
        <w:t xml:space="preserve">. Prepared for Citizens Budget Commission. </w:t>
      </w:r>
      <w:r w:rsidRPr="00ED57CE">
        <w:rPr>
          <w:rFonts w:ascii="Times New Roman" w:hAnsi="Times New Roman" w:cs="Times New Roman"/>
          <w:color w:val="222222"/>
          <w:sz w:val="24"/>
          <w:szCs w:val="24"/>
          <w:shd w:val="clear" w:color="auto" w:fill="FFFFFF"/>
        </w:rPr>
        <w:t>http://www.cbcny.org/sites/default/files/REPORT_HousingAffordabilityVsLocation_08122014.pdf</w:t>
      </w:r>
    </w:p>
    <w:p w:rsidR="001D69C6" w:rsidRPr="001D69C6" w:rsidRDefault="001D69C6" w:rsidP="001D69C6">
      <w:pPr>
        <w:rPr>
          <w:rFonts w:ascii="Times New Roman" w:hAnsi="Times New Roman" w:cs="Times New Roman"/>
          <w:color w:val="222222"/>
          <w:sz w:val="24"/>
          <w:szCs w:val="24"/>
          <w:shd w:val="clear" w:color="auto" w:fill="FFFFFF"/>
        </w:rPr>
      </w:pPr>
      <w:r w:rsidRPr="00D52085">
        <w:rPr>
          <w:rFonts w:ascii="Times New Roman" w:hAnsi="Times New Roman" w:cs="Times New Roman"/>
          <w:color w:val="222222"/>
          <w:sz w:val="24"/>
          <w:szCs w:val="24"/>
          <w:shd w:val="clear" w:color="auto" w:fill="FFFFFF"/>
        </w:rPr>
        <w:t>Linneman, P. D., &amp; Megbolugbe, I. F. (1992). Housing affordability:</w:t>
      </w:r>
      <w:r>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color w:val="222222"/>
          <w:sz w:val="24"/>
          <w:szCs w:val="24"/>
          <w:shd w:val="clear" w:color="auto" w:fill="FFFFFF"/>
        </w:rPr>
        <w:t xml:space="preserve">Myth or reality? </w:t>
      </w:r>
      <w:r w:rsidRPr="00D52085">
        <w:rPr>
          <w:rFonts w:ascii="Times New Roman" w:hAnsi="Times New Roman" w:cs="Times New Roman"/>
          <w:i/>
          <w:iCs/>
          <w:color w:val="222222"/>
          <w:sz w:val="24"/>
          <w:szCs w:val="24"/>
          <w:shd w:val="clear" w:color="auto" w:fill="FFFFFF"/>
        </w:rPr>
        <w:t>Urban Studies</w:t>
      </w:r>
      <w:r w:rsidRPr="00D52085">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i/>
          <w:iCs/>
          <w:color w:val="222222"/>
          <w:sz w:val="24"/>
          <w:szCs w:val="24"/>
          <w:shd w:val="clear" w:color="auto" w:fill="FFFFFF"/>
        </w:rPr>
        <w:t>29</w:t>
      </w:r>
      <w:r w:rsidRPr="00D52085">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color w:val="222222"/>
          <w:sz w:val="24"/>
          <w:szCs w:val="24"/>
          <w:shd w:val="clear" w:color="auto" w:fill="FFFFFF"/>
        </w:rPr>
        <w:t>369-392.</w:t>
      </w:r>
    </w:p>
    <w:p w:rsidR="001D69C6" w:rsidRPr="001D69C6" w:rsidRDefault="001D69C6" w:rsidP="001D69C6">
      <w:pPr>
        <w:rPr>
          <w:rFonts w:ascii="Times New Roman" w:hAnsi="Times New Roman" w:cs="Times New Roman"/>
          <w:color w:val="222222"/>
          <w:sz w:val="24"/>
          <w:szCs w:val="24"/>
          <w:shd w:val="clear" w:color="auto" w:fill="FFFFFF"/>
        </w:rPr>
      </w:pPr>
      <w:r w:rsidRPr="00B84F04">
        <w:rPr>
          <w:rFonts w:ascii="Times New Roman" w:hAnsi="Times New Roman" w:cs="Times New Roman"/>
          <w:color w:val="222222"/>
          <w:sz w:val="24"/>
          <w:szCs w:val="24"/>
          <w:shd w:val="clear" w:color="auto" w:fill="FFFFFF"/>
        </w:rPr>
        <w:t xml:space="preserve">Lipman, B. J. </w:t>
      </w:r>
      <w:r>
        <w:rPr>
          <w:rFonts w:ascii="Times New Roman" w:hAnsi="Times New Roman" w:cs="Times New Roman"/>
          <w:color w:val="222222"/>
          <w:sz w:val="24"/>
          <w:szCs w:val="24"/>
          <w:shd w:val="clear" w:color="auto" w:fill="FFFFFF"/>
        </w:rPr>
        <w:t xml:space="preserve">(2006). </w:t>
      </w:r>
      <w:r w:rsidRPr="00B84F04">
        <w:rPr>
          <w:rFonts w:ascii="Times New Roman" w:hAnsi="Times New Roman" w:cs="Times New Roman"/>
          <w:color w:val="222222"/>
          <w:sz w:val="24"/>
          <w:szCs w:val="24"/>
          <w:shd w:val="clear" w:color="auto" w:fill="FFFFFF"/>
        </w:rPr>
        <w:t xml:space="preserve">A Heavy Load. The Combined Housing and Transportation Burdens of Working Families. </w:t>
      </w:r>
      <w:r w:rsidRPr="00A24F33">
        <w:rPr>
          <w:rFonts w:ascii="Times New Roman" w:hAnsi="Times New Roman" w:cs="Times New Roman"/>
          <w:color w:val="222222"/>
          <w:sz w:val="24"/>
          <w:szCs w:val="24"/>
          <w:shd w:val="clear" w:color="auto" w:fill="FFFFFF"/>
        </w:rPr>
        <w:t>Technical report prepared for Center for Housing Policy</w:t>
      </w:r>
      <w:r w:rsidRPr="00B84F04">
        <w:rPr>
          <w:rFonts w:ascii="Times New Roman" w:hAnsi="Times New Roman" w:cs="Times New Roman"/>
          <w:color w:val="222222"/>
          <w:sz w:val="24"/>
          <w:szCs w:val="24"/>
          <w:shd w:val="clear" w:color="auto" w:fill="FFFFFF"/>
        </w:rPr>
        <w:t>, Washin</w:t>
      </w:r>
      <w:r>
        <w:rPr>
          <w:rFonts w:ascii="Times New Roman" w:hAnsi="Times New Roman" w:cs="Times New Roman"/>
          <w:color w:val="222222"/>
          <w:sz w:val="24"/>
          <w:szCs w:val="24"/>
          <w:shd w:val="clear" w:color="auto" w:fill="FFFFFF"/>
        </w:rPr>
        <w:t>gton, D.C.</w:t>
      </w:r>
    </w:p>
    <w:p w:rsidR="00ED57CE" w:rsidRDefault="00ED57CE" w:rsidP="00763834">
      <w:pPr>
        <w:spacing w:after="0" w:line="240" w:lineRule="auto"/>
        <w:contextualSpacing/>
        <w:rPr>
          <w:rFonts w:ascii="Times New Roman" w:eastAsia="Calibri" w:hAnsi="Times New Roman" w:cs="Times New Roman"/>
          <w:noProof/>
          <w:sz w:val="24"/>
        </w:rPr>
      </w:pPr>
      <w:r w:rsidRPr="00ED57CE">
        <w:rPr>
          <w:rFonts w:ascii="Times New Roman" w:eastAsia="Calibri" w:hAnsi="Times New Roman" w:cs="Times New Roman"/>
          <w:noProof/>
          <w:sz w:val="24"/>
        </w:rPr>
        <w:lastRenderedPageBreak/>
        <w:t>Litman, T. (2009). Transportation cost and benefit analysis. </w:t>
      </w:r>
      <w:r w:rsidRPr="00ED57CE">
        <w:rPr>
          <w:rFonts w:ascii="Times New Roman" w:eastAsia="Calibri" w:hAnsi="Times New Roman" w:cs="Times New Roman"/>
          <w:i/>
          <w:iCs/>
          <w:noProof/>
          <w:sz w:val="24"/>
        </w:rPr>
        <w:t>Victoria Transport Policy Institute</w:t>
      </w:r>
      <w:r w:rsidRPr="00ED57CE">
        <w:rPr>
          <w:rFonts w:ascii="Times New Roman" w:eastAsia="Calibri" w:hAnsi="Times New Roman" w:cs="Times New Roman"/>
          <w:noProof/>
          <w:sz w:val="24"/>
        </w:rPr>
        <w:t>, 1-19.</w:t>
      </w:r>
    </w:p>
    <w:p w:rsidR="00ED57CE" w:rsidRDefault="00ED57CE" w:rsidP="00763834">
      <w:pPr>
        <w:spacing w:after="0" w:line="240" w:lineRule="auto"/>
        <w:contextualSpacing/>
        <w:rPr>
          <w:rFonts w:ascii="Times New Roman" w:eastAsia="Calibri" w:hAnsi="Times New Roman" w:cs="Times New Roman"/>
          <w:noProof/>
          <w:sz w:val="24"/>
        </w:rPr>
      </w:pPr>
    </w:p>
    <w:p w:rsidR="00763834" w:rsidRPr="00763834" w:rsidRDefault="00763834" w:rsidP="00763834">
      <w:pPr>
        <w:spacing w:after="0" w:line="240" w:lineRule="auto"/>
        <w:contextualSpacing/>
        <w:rPr>
          <w:rFonts w:ascii="Times New Roman" w:eastAsia="Calibri" w:hAnsi="Times New Roman" w:cs="Times New Roman"/>
          <w:noProof/>
          <w:sz w:val="24"/>
        </w:rPr>
      </w:pPr>
      <w:r w:rsidRPr="00763834">
        <w:rPr>
          <w:rFonts w:ascii="Times New Roman" w:eastAsia="Calibri" w:hAnsi="Times New Roman" w:cs="Times New Roman"/>
          <w:noProof/>
          <w:sz w:val="24"/>
        </w:rPr>
        <w:t xml:space="preserve">McMillan, T. E. (2005). Urban form and a child's trip to school: The current literature and a framework for future research. </w:t>
      </w:r>
      <w:r w:rsidRPr="00763834">
        <w:rPr>
          <w:rFonts w:ascii="Times New Roman" w:eastAsia="Calibri" w:hAnsi="Times New Roman" w:cs="Times New Roman"/>
          <w:i/>
          <w:noProof/>
          <w:sz w:val="24"/>
        </w:rPr>
        <w:t>Journal of Planning Literature, 19</w:t>
      </w:r>
      <w:r w:rsidRPr="00763834">
        <w:rPr>
          <w:rFonts w:ascii="Times New Roman" w:eastAsia="Calibri" w:hAnsi="Times New Roman" w:cs="Times New Roman"/>
          <w:noProof/>
          <w:sz w:val="24"/>
        </w:rPr>
        <w:t>(4), 440-456.</w:t>
      </w:r>
    </w:p>
    <w:p w:rsidR="00763834" w:rsidRPr="00763834" w:rsidRDefault="00763834" w:rsidP="00763834">
      <w:pPr>
        <w:spacing w:after="0" w:line="240" w:lineRule="auto"/>
        <w:contextualSpacing/>
        <w:rPr>
          <w:rFonts w:ascii="Times New Roman" w:eastAsia="Calibri" w:hAnsi="Times New Roman" w:cs="Times New Roman"/>
          <w:noProof/>
          <w:sz w:val="24"/>
        </w:rPr>
      </w:pPr>
    </w:p>
    <w:p w:rsidR="00763834" w:rsidRPr="00763834" w:rsidRDefault="00763834" w:rsidP="00763834">
      <w:pPr>
        <w:spacing w:after="0" w:line="240" w:lineRule="auto"/>
        <w:contextualSpacing/>
        <w:rPr>
          <w:rFonts w:ascii="Times New Roman" w:eastAsia="Calibri" w:hAnsi="Times New Roman" w:cs="Times New Roman"/>
          <w:noProof/>
          <w:sz w:val="24"/>
        </w:rPr>
      </w:pPr>
      <w:r w:rsidRPr="00763834">
        <w:rPr>
          <w:rFonts w:ascii="Times New Roman" w:eastAsia="Calibri" w:hAnsi="Times New Roman" w:cs="Times New Roman"/>
          <w:noProof/>
          <w:sz w:val="24"/>
        </w:rPr>
        <w:t xml:space="preserve">McMillan T. E. (2007). The relative influence of urban form on a child's travel mode to school. </w:t>
      </w:r>
      <w:r w:rsidRPr="00763834">
        <w:rPr>
          <w:rFonts w:ascii="Times New Roman" w:eastAsia="Calibri" w:hAnsi="Times New Roman" w:cs="Times New Roman"/>
          <w:i/>
          <w:noProof/>
          <w:sz w:val="24"/>
        </w:rPr>
        <w:t>Transportation Research A</w:t>
      </w:r>
      <w:r w:rsidRPr="00763834">
        <w:rPr>
          <w:rFonts w:ascii="Times New Roman" w:eastAsia="Calibri" w:hAnsi="Times New Roman" w:cs="Times New Roman"/>
          <w:noProof/>
          <w:sz w:val="24"/>
        </w:rPr>
        <w:t xml:space="preserve">, </w:t>
      </w:r>
      <w:r w:rsidRPr="00763834">
        <w:rPr>
          <w:rFonts w:ascii="Times New Roman" w:eastAsia="Calibri" w:hAnsi="Times New Roman" w:cs="Times New Roman"/>
          <w:i/>
          <w:noProof/>
          <w:sz w:val="24"/>
        </w:rPr>
        <w:t>41</w:t>
      </w:r>
      <w:r w:rsidRPr="00763834">
        <w:rPr>
          <w:rFonts w:ascii="Times New Roman" w:eastAsia="Calibri" w:hAnsi="Times New Roman" w:cs="Times New Roman"/>
          <w:noProof/>
          <w:sz w:val="24"/>
        </w:rPr>
        <w:t>(1), 69-79.</w:t>
      </w:r>
    </w:p>
    <w:p w:rsidR="00763834" w:rsidRPr="00763834" w:rsidRDefault="00763834" w:rsidP="00763834">
      <w:pPr>
        <w:spacing w:after="0" w:line="240" w:lineRule="auto"/>
        <w:contextualSpacing/>
        <w:rPr>
          <w:rFonts w:ascii="Times New Roman" w:eastAsia="Calibri" w:hAnsi="Times New Roman" w:cs="Times New Roman"/>
          <w:noProof/>
          <w:sz w:val="24"/>
        </w:rPr>
      </w:pPr>
    </w:p>
    <w:p w:rsidR="00763834" w:rsidRPr="00763834" w:rsidRDefault="00763834" w:rsidP="00763834">
      <w:pPr>
        <w:spacing w:after="0" w:line="240" w:lineRule="auto"/>
        <w:contextualSpacing/>
        <w:rPr>
          <w:rFonts w:ascii="Times New Roman" w:eastAsia="Calibri" w:hAnsi="Times New Roman" w:cs="Times New Roman"/>
          <w:b/>
          <w:noProof/>
          <w:sz w:val="24"/>
        </w:rPr>
      </w:pPr>
      <w:r w:rsidRPr="00763834">
        <w:rPr>
          <w:rFonts w:ascii="Times New Roman" w:eastAsia="Calibri" w:hAnsi="Times New Roman" w:cs="Times New Roman"/>
          <w:noProof/>
          <w:sz w:val="24"/>
        </w:rPr>
        <w:t>Pont, K</w:t>
      </w:r>
      <w:r w:rsidRPr="00763834">
        <w:rPr>
          <w:rFonts w:ascii="Times New Roman" w:eastAsia="Calibri" w:hAnsi="Times New Roman" w:cs="Times New Roman"/>
          <w:b/>
          <w:noProof/>
          <w:sz w:val="24"/>
        </w:rPr>
        <w:t>.</w:t>
      </w:r>
      <w:r w:rsidRPr="00763834">
        <w:rPr>
          <w:rFonts w:ascii="Times New Roman" w:eastAsia="Calibri" w:hAnsi="Times New Roman" w:cs="Times New Roman"/>
          <w:noProof/>
          <w:sz w:val="24"/>
        </w:rPr>
        <w:t xml:space="preserve">, Ziviani, J., Wadley, D., Bennett, S., &amp; Abbott, R. (2009). Environmental correlates of children’s active transportation: A systematic literature review. </w:t>
      </w:r>
      <w:r w:rsidRPr="00763834">
        <w:rPr>
          <w:rFonts w:ascii="Times New Roman" w:eastAsia="Calibri" w:hAnsi="Times New Roman" w:cs="Times New Roman"/>
          <w:i/>
          <w:noProof/>
          <w:sz w:val="24"/>
        </w:rPr>
        <w:t>Health &amp; Place</w:t>
      </w:r>
      <w:r w:rsidRPr="00763834">
        <w:rPr>
          <w:rFonts w:ascii="Times New Roman" w:eastAsia="Calibri" w:hAnsi="Times New Roman" w:cs="Times New Roman"/>
          <w:noProof/>
          <w:sz w:val="24"/>
        </w:rPr>
        <w:t xml:space="preserve">, </w:t>
      </w:r>
      <w:r w:rsidRPr="00763834">
        <w:rPr>
          <w:rFonts w:ascii="Times New Roman" w:eastAsia="Calibri" w:hAnsi="Times New Roman" w:cs="Times New Roman"/>
          <w:i/>
          <w:noProof/>
          <w:sz w:val="24"/>
        </w:rPr>
        <w:t>15</w:t>
      </w:r>
      <w:r w:rsidRPr="00763834">
        <w:rPr>
          <w:rFonts w:ascii="Times New Roman" w:eastAsia="Calibri" w:hAnsi="Times New Roman" w:cs="Times New Roman"/>
          <w:noProof/>
          <w:sz w:val="24"/>
        </w:rPr>
        <w:t>(3), 827-840</w:t>
      </w:r>
      <w:r w:rsidRPr="00763834">
        <w:rPr>
          <w:rFonts w:ascii="Times New Roman" w:eastAsia="Calibri" w:hAnsi="Times New Roman" w:cs="Times New Roman"/>
          <w:b/>
          <w:noProof/>
          <w:sz w:val="24"/>
        </w:rPr>
        <w:t>.</w:t>
      </w:r>
    </w:p>
    <w:p w:rsidR="00763834" w:rsidRPr="00763834" w:rsidRDefault="00763834" w:rsidP="00763834">
      <w:pPr>
        <w:spacing w:after="0" w:line="240" w:lineRule="auto"/>
        <w:contextualSpacing/>
        <w:rPr>
          <w:rFonts w:ascii="Times New Roman" w:eastAsia="Calibri" w:hAnsi="Times New Roman" w:cs="Times New Roman"/>
          <w:b/>
          <w:noProof/>
          <w:sz w:val="24"/>
        </w:rPr>
      </w:pPr>
    </w:p>
    <w:p w:rsidR="001D69C6" w:rsidRPr="001D69C6" w:rsidRDefault="001D69C6" w:rsidP="001D69C6">
      <w:pPr>
        <w:rPr>
          <w:rFonts w:ascii="Times New Roman" w:hAnsi="Times New Roman" w:cs="Times New Roman"/>
          <w:color w:val="222222"/>
          <w:sz w:val="24"/>
          <w:szCs w:val="24"/>
          <w:shd w:val="clear" w:color="auto" w:fill="FFFFFF"/>
        </w:rPr>
      </w:pPr>
      <w:r w:rsidRPr="00D52085">
        <w:rPr>
          <w:rFonts w:ascii="Times New Roman" w:hAnsi="Times New Roman" w:cs="Times New Roman"/>
          <w:color w:val="222222"/>
          <w:sz w:val="24"/>
          <w:szCs w:val="24"/>
          <w:shd w:val="clear" w:color="auto" w:fill="FFFFFF"/>
        </w:rPr>
        <w:t>O’Dell, W., Smith, M. T., &amp; White, D. (2004). Weaknesses</w:t>
      </w:r>
      <w:r>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color w:val="222222"/>
          <w:sz w:val="24"/>
          <w:szCs w:val="24"/>
          <w:shd w:val="clear" w:color="auto" w:fill="FFFFFF"/>
        </w:rPr>
        <w:t xml:space="preserve">in current measures of housing needs. </w:t>
      </w:r>
      <w:r w:rsidRPr="00D52085">
        <w:rPr>
          <w:rFonts w:ascii="Times New Roman" w:hAnsi="Times New Roman" w:cs="Times New Roman"/>
          <w:i/>
          <w:iCs/>
          <w:color w:val="222222"/>
          <w:sz w:val="24"/>
          <w:szCs w:val="24"/>
          <w:shd w:val="clear" w:color="auto" w:fill="FFFFFF"/>
        </w:rPr>
        <w:t>Housing and</w:t>
      </w:r>
      <w:r>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i/>
          <w:iCs/>
          <w:color w:val="222222"/>
          <w:sz w:val="24"/>
          <w:szCs w:val="24"/>
          <w:shd w:val="clear" w:color="auto" w:fill="FFFFFF"/>
        </w:rPr>
        <w:t>Society</w:t>
      </w:r>
      <w:r w:rsidRPr="00D52085">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i/>
          <w:iCs/>
          <w:color w:val="222222"/>
          <w:sz w:val="24"/>
          <w:szCs w:val="24"/>
          <w:shd w:val="clear" w:color="auto" w:fill="FFFFFF"/>
        </w:rPr>
        <w:t>31</w:t>
      </w:r>
      <w:r w:rsidRPr="00D52085">
        <w:rPr>
          <w:rFonts w:ascii="Times New Roman" w:hAnsi="Times New Roman" w:cs="Times New Roman"/>
          <w:color w:val="222222"/>
          <w:sz w:val="24"/>
          <w:szCs w:val="24"/>
          <w:shd w:val="clear" w:color="auto" w:fill="FFFFFF"/>
        </w:rPr>
        <w:t>(1), 29-40.</w:t>
      </w:r>
    </w:p>
    <w:p w:rsidR="000E7A8B" w:rsidRDefault="000E7A8B" w:rsidP="001D69C6">
      <w:pPr>
        <w:rPr>
          <w:rFonts w:ascii="Times New Roman" w:hAnsi="Times New Roman" w:cs="Times New Roman"/>
          <w:color w:val="222222"/>
          <w:sz w:val="24"/>
          <w:szCs w:val="24"/>
          <w:shd w:val="clear" w:color="auto" w:fill="FFFFFF"/>
        </w:rPr>
      </w:pPr>
      <w:r w:rsidRPr="00820C32">
        <w:rPr>
          <w:rFonts w:ascii="Times New Roman" w:hAnsi="Times New Roman" w:cs="Times New Roman"/>
          <w:color w:val="222222"/>
          <w:sz w:val="24"/>
          <w:szCs w:val="24"/>
          <w:shd w:val="clear" w:color="auto" w:fill="FFFFFF"/>
        </w:rPr>
        <w:t>Raudenbush, S. W., &amp; Bryk, A. S. (2002). </w:t>
      </w:r>
      <w:r w:rsidRPr="00820C32">
        <w:rPr>
          <w:rFonts w:ascii="Times New Roman" w:hAnsi="Times New Roman" w:cs="Times New Roman"/>
          <w:i/>
          <w:iCs/>
          <w:color w:val="222222"/>
          <w:sz w:val="24"/>
          <w:szCs w:val="24"/>
          <w:shd w:val="clear" w:color="auto" w:fill="FFFFFF"/>
        </w:rPr>
        <w:t>Hierarchical linear models: Applications and data analysis methods</w:t>
      </w:r>
      <w:r w:rsidRPr="00820C32">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(Vol. 1). Sage Publication.</w:t>
      </w:r>
    </w:p>
    <w:p w:rsidR="000E7A8B" w:rsidRDefault="000E7A8B" w:rsidP="000E7A8B">
      <w:pPr>
        <w:rPr>
          <w:rFonts w:ascii="Times New Roman" w:hAnsi="Times New Roman" w:cs="Times New Roman"/>
          <w:color w:val="222222"/>
          <w:sz w:val="24"/>
          <w:szCs w:val="24"/>
          <w:shd w:val="clear" w:color="auto" w:fill="FFFFFF"/>
        </w:rPr>
      </w:pPr>
      <w:r w:rsidRPr="000E7A8B">
        <w:rPr>
          <w:rFonts w:ascii="Times New Roman" w:hAnsi="Times New Roman" w:cs="Times New Roman"/>
          <w:color w:val="222222"/>
          <w:sz w:val="24"/>
          <w:szCs w:val="24"/>
          <w:shd w:val="clear" w:color="auto" w:fill="FFFFFF"/>
        </w:rPr>
        <w:t>Raudenbush</w:t>
      </w:r>
      <w:r>
        <w:rPr>
          <w:rFonts w:ascii="Times New Roman" w:hAnsi="Times New Roman" w:cs="Times New Roman"/>
          <w:color w:val="222222"/>
          <w:sz w:val="24"/>
          <w:szCs w:val="24"/>
          <w:shd w:val="clear" w:color="auto" w:fill="FFFFFF"/>
        </w:rPr>
        <w:t xml:space="preserve"> SW, Bryk AS, Cheong YF, et al. </w:t>
      </w:r>
      <w:r w:rsidRPr="000E7A8B">
        <w:rPr>
          <w:rFonts w:ascii="Times New Roman" w:hAnsi="Times New Roman" w:cs="Times New Roman"/>
          <w:color w:val="222222"/>
          <w:sz w:val="24"/>
          <w:szCs w:val="24"/>
          <w:shd w:val="clear" w:color="auto" w:fill="FFFFFF"/>
        </w:rPr>
        <w:t xml:space="preserve">(2010) </w:t>
      </w:r>
      <w:r w:rsidRPr="00ED57CE">
        <w:rPr>
          <w:rFonts w:ascii="Times New Roman" w:hAnsi="Times New Roman" w:cs="Times New Roman"/>
          <w:i/>
          <w:color w:val="222222"/>
          <w:sz w:val="24"/>
          <w:szCs w:val="24"/>
          <w:shd w:val="clear" w:color="auto" w:fill="FFFFFF"/>
        </w:rPr>
        <w:t>HLM 7: Hierarchical Linear and Nonlinear Modeling</w:t>
      </w:r>
      <w:r w:rsidRPr="000E7A8B">
        <w:rPr>
          <w:rFonts w:ascii="Times New Roman" w:hAnsi="Times New Roman" w:cs="Times New Roman"/>
          <w:color w:val="222222"/>
          <w:sz w:val="24"/>
          <w:szCs w:val="24"/>
          <w:shd w:val="clear" w:color="auto" w:fill="FFFFFF"/>
        </w:rPr>
        <w:t>. Chicago, IL: Scientific Soft</w:t>
      </w:r>
      <w:r>
        <w:rPr>
          <w:rFonts w:ascii="Times New Roman" w:hAnsi="Times New Roman" w:cs="Times New Roman"/>
          <w:color w:val="222222"/>
          <w:sz w:val="24"/>
          <w:szCs w:val="24"/>
          <w:shd w:val="clear" w:color="auto" w:fill="FFFFFF"/>
        </w:rPr>
        <w:t>ware International.</w:t>
      </w:r>
    </w:p>
    <w:p w:rsidR="001D69C6" w:rsidRPr="001D69C6" w:rsidRDefault="001D69C6" w:rsidP="001D69C6">
      <w:pPr>
        <w:rPr>
          <w:rFonts w:ascii="Times New Roman" w:hAnsi="Times New Roman" w:cs="Times New Roman"/>
          <w:color w:val="222222"/>
          <w:sz w:val="24"/>
          <w:szCs w:val="24"/>
          <w:shd w:val="clear" w:color="auto" w:fill="FFFFFF"/>
        </w:rPr>
      </w:pPr>
      <w:r w:rsidRPr="00D52085">
        <w:rPr>
          <w:rFonts w:ascii="Times New Roman" w:hAnsi="Times New Roman" w:cs="Times New Roman"/>
          <w:color w:val="222222"/>
          <w:sz w:val="24"/>
          <w:szCs w:val="24"/>
          <w:shd w:val="clear" w:color="auto" w:fill="FFFFFF"/>
        </w:rPr>
        <w:t>Robinson, M., Scobie, G. M., &amp; Hallinan, B. (2006). Affordability of housing: concepts, measurement and evidence. </w:t>
      </w:r>
      <w:r w:rsidRPr="00D52085">
        <w:rPr>
          <w:rFonts w:ascii="Times New Roman" w:hAnsi="Times New Roman" w:cs="Times New Roman"/>
          <w:i/>
          <w:iCs/>
          <w:color w:val="222222"/>
          <w:sz w:val="24"/>
          <w:szCs w:val="24"/>
          <w:shd w:val="clear" w:color="auto" w:fill="FFFFFF"/>
        </w:rPr>
        <w:t>MONTH</w:t>
      </w:r>
      <w:r w:rsidRPr="00D52085">
        <w:rPr>
          <w:rFonts w:ascii="Times New Roman" w:hAnsi="Times New Roman" w:cs="Times New Roman"/>
          <w:color w:val="222222"/>
          <w:sz w:val="24"/>
          <w:szCs w:val="24"/>
          <w:shd w:val="clear" w:color="auto" w:fill="FFFFFF"/>
        </w:rPr>
        <w:t>, </w:t>
      </w:r>
      <w:r w:rsidRPr="00D52085">
        <w:rPr>
          <w:rFonts w:ascii="Times New Roman" w:hAnsi="Times New Roman" w:cs="Times New Roman"/>
          <w:i/>
          <w:iCs/>
          <w:color w:val="222222"/>
          <w:sz w:val="24"/>
          <w:szCs w:val="24"/>
          <w:shd w:val="clear" w:color="auto" w:fill="FFFFFF"/>
        </w:rPr>
        <w:t>6</w:t>
      </w:r>
      <w:r w:rsidRPr="00D52085">
        <w:rPr>
          <w:rFonts w:ascii="Times New Roman" w:hAnsi="Times New Roman" w:cs="Times New Roman"/>
          <w:color w:val="222222"/>
          <w:sz w:val="24"/>
          <w:szCs w:val="24"/>
          <w:shd w:val="clear" w:color="auto" w:fill="FFFFFF"/>
        </w:rPr>
        <w:t xml:space="preserve">, 04. </w:t>
      </w:r>
    </w:p>
    <w:p w:rsidR="00763834" w:rsidRPr="00763834" w:rsidRDefault="00763834" w:rsidP="00763834">
      <w:pPr>
        <w:spacing w:after="0" w:line="240" w:lineRule="auto"/>
        <w:contextualSpacing/>
        <w:rPr>
          <w:rFonts w:ascii="Times New Roman" w:eastAsia="Calibri" w:hAnsi="Times New Roman" w:cs="Times New Roman"/>
          <w:noProof/>
          <w:sz w:val="24"/>
        </w:rPr>
      </w:pPr>
      <w:r w:rsidRPr="00763834">
        <w:rPr>
          <w:rFonts w:ascii="Times New Roman" w:eastAsia="Calibri" w:hAnsi="Times New Roman" w:cs="Times New Roman"/>
          <w:noProof/>
          <w:sz w:val="24"/>
        </w:rPr>
        <w:t xml:space="preserve">Saelens, B. E., Sallis, J. F., &amp; Frank, L. D. (2003). Environmental correlates of walking and cycling: Findings from the transportation, urban design, and planning literatures. </w:t>
      </w:r>
      <w:r w:rsidRPr="00763834">
        <w:rPr>
          <w:rFonts w:ascii="Times New Roman" w:eastAsia="Calibri" w:hAnsi="Times New Roman" w:cs="Times New Roman"/>
          <w:i/>
          <w:noProof/>
          <w:sz w:val="24"/>
        </w:rPr>
        <w:t>Annals of Behavioral Medicine</w:t>
      </w:r>
      <w:r w:rsidRPr="00763834">
        <w:rPr>
          <w:rFonts w:ascii="Times New Roman" w:eastAsia="Calibri" w:hAnsi="Times New Roman" w:cs="Times New Roman"/>
          <w:noProof/>
          <w:sz w:val="24"/>
        </w:rPr>
        <w:t xml:space="preserve">, </w:t>
      </w:r>
      <w:r w:rsidRPr="00763834">
        <w:rPr>
          <w:rFonts w:ascii="Times New Roman" w:eastAsia="Calibri" w:hAnsi="Times New Roman" w:cs="Times New Roman"/>
          <w:i/>
          <w:noProof/>
          <w:sz w:val="24"/>
        </w:rPr>
        <w:t>25</w:t>
      </w:r>
      <w:r w:rsidRPr="00763834">
        <w:rPr>
          <w:rFonts w:ascii="Times New Roman" w:eastAsia="Calibri" w:hAnsi="Times New Roman" w:cs="Times New Roman"/>
          <w:noProof/>
          <w:sz w:val="24"/>
        </w:rPr>
        <w:t xml:space="preserve">(2), 80-91. </w:t>
      </w:r>
    </w:p>
    <w:p w:rsidR="00763834" w:rsidRPr="00763834" w:rsidRDefault="00763834" w:rsidP="00763834">
      <w:pPr>
        <w:spacing w:after="0" w:line="240" w:lineRule="auto"/>
        <w:contextualSpacing/>
        <w:rPr>
          <w:rFonts w:ascii="Times New Roman" w:eastAsia="Calibri" w:hAnsi="Times New Roman" w:cs="Times New Roman"/>
          <w:noProof/>
          <w:sz w:val="24"/>
        </w:rPr>
      </w:pPr>
    </w:p>
    <w:p w:rsidR="00763834" w:rsidRPr="00763834" w:rsidRDefault="00763834" w:rsidP="00763834">
      <w:pPr>
        <w:spacing w:after="0" w:line="240" w:lineRule="auto"/>
        <w:contextualSpacing/>
        <w:rPr>
          <w:rFonts w:ascii="Times New Roman" w:eastAsia="Calibri" w:hAnsi="Times New Roman" w:cs="Times New Roman"/>
          <w:noProof/>
          <w:sz w:val="24"/>
        </w:rPr>
      </w:pPr>
      <w:r w:rsidRPr="00763834">
        <w:rPr>
          <w:rFonts w:ascii="Times New Roman" w:eastAsia="Calibri" w:hAnsi="Times New Roman" w:cs="Times New Roman"/>
          <w:noProof/>
          <w:sz w:val="24"/>
        </w:rPr>
        <w:t xml:space="preserve">Stead, D., &amp; Marshall, S. (2001). The relationships between urban form and travel patterns. An international review and evaluation. </w:t>
      </w:r>
      <w:hyperlink r:id="rId15" w:history="1">
        <w:r w:rsidRPr="00763834">
          <w:rPr>
            <w:rFonts w:ascii="Times New Roman" w:eastAsia="Calibri" w:hAnsi="Times New Roman" w:cs="Times New Roman"/>
            <w:i/>
            <w:sz w:val="24"/>
          </w:rPr>
          <w:t>European Journal of Transport and Infrastructure Research</w:t>
        </w:r>
      </w:hyperlink>
      <w:r w:rsidRPr="00763834">
        <w:rPr>
          <w:rFonts w:ascii="Times New Roman" w:eastAsia="Calibri" w:hAnsi="Times New Roman" w:cs="Times New Roman"/>
          <w:i/>
          <w:noProof/>
          <w:sz w:val="24"/>
        </w:rPr>
        <w:t>,</w:t>
      </w:r>
      <w:r w:rsidRPr="00763834">
        <w:rPr>
          <w:rFonts w:ascii="Times New Roman" w:eastAsia="Calibri" w:hAnsi="Times New Roman" w:cs="Times New Roman"/>
          <w:noProof/>
          <w:sz w:val="24"/>
        </w:rPr>
        <w:t xml:space="preserve"> </w:t>
      </w:r>
      <w:r w:rsidRPr="00763834">
        <w:rPr>
          <w:rFonts w:ascii="Times New Roman" w:eastAsia="Calibri" w:hAnsi="Times New Roman" w:cs="Times New Roman"/>
          <w:i/>
          <w:noProof/>
          <w:sz w:val="24"/>
        </w:rPr>
        <w:t>1</w:t>
      </w:r>
      <w:r w:rsidRPr="00763834">
        <w:rPr>
          <w:rFonts w:ascii="Times New Roman" w:eastAsia="Calibri" w:hAnsi="Times New Roman" w:cs="Times New Roman"/>
          <w:noProof/>
          <w:sz w:val="24"/>
        </w:rPr>
        <w:t>(2), 113-141.</w:t>
      </w:r>
    </w:p>
    <w:p w:rsidR="00763834" w:rsidRPr="00763834" w:rsidRDefault="00763834" w:rsidP="00763834">
      <w:pPr>
        <w:spacing w:after="0" w:line="240" w:lineRule="auto"/>
        <w:contextualSpacing/>
        <w:rPr>
          <w:rFonts w:ascii="Times New Roman" w:eastAsia="Calibri" w:hAnsi="Times New Roman" w:cs="Times New Roman"/>
          <w:noProof/>
          <w:sz w:val="24"/>
        </w:rPr>
      </w:pPr>
    </w:p>
    <w:p w:rsidR="00763834" w:rsidRPr="00763834" w:rsidRDefault="00763834" w:rsidP="00763834">
      <w:pPr>
        <w:spacing w:after="0" w:line="240" w:lineRule="auto"/>
        <w:contextualSpacing/>
        <w:rPr>
          <w:rFonts w:ascii="Times New Roman" w:eastAsia="Calibri" w:hAnsi="Times New Roman" w:cs="Times New Roman"/>
          <w:iCs/>
          <w:noProof/>
          <w:sz w:val="24"/>
        </w:rPr>
      </w:pPr>
      <w:r w:rsidRPr="00763834">
        <w:rPr>
          <w:rFonts w:ascii="Times New Roman" w:eastAsia="Calibri" w:hAnsi="Times New Roman" w:cs="Times New Roman"/>
          <w:noProof/>
          <w:sz w:val="24"/>
        </w:rPr>
        <w:t>Tegeler, Phillip (2</w:t>
      </w:r>
      <w:r w:rsidRPr="00763834">
        <w:rPr>
          <w:rFonts w:ascii="Times New Roman" w:eastAsia="Calibri" w:hAnsi="Times New Roman" w:cs="Times New Roman"/>
          <w:bCs/>
          <w:noProof/>
          <w:sz w:val="24"/>
        </w:rPr>
        <w:t>011)</w:t>
      </w:r>
      <w:r w:rsidRPr="00763834">
        <w:rPr>
          <w:rFonts w:ascii="Times New Roman" w:eastAsia="Calibri" w:hAnsi="Times New Roman" w:cs="Times New Roman"/>
          <w:noProof/>
          <w:sz w:val="24"/>
        </w:rPr>
        <w:t>.</w:t>
      </w:r>
      <w:r w:rsidRPr="00763834">
        <w:rPr>
          <w:rFonts w:ascii="Times New Roman" w:eastAsia="Calibri" w:hAnsi="Times New Roman" w:cs="Times New Roman"/>
          <w:bCs/>
          <w:noProof/>
          <w:sz w:val="24"/>
        </w:rPr>
        <w:t xml:space="preserve"> Transportation and Fair Housing Part 1: We Need a Better Measure of Opportunity</w:t>
      </w:r>
      <w:r w:rsidRPr="00763834">
        <w:rPr>
          <w:rFonts w:ascii="Times New Roman" w:eastAsia="Calibri" w:hAnsi="Times New Roman" w:cs="Times New Roman"/>
          <w:noProof/>
          <w:sz w:val="24"/>
        </w:rPr>
        <w:t>.</w:t>
      </w:r>
      <w:r w:rsidRPr="00763834">
        <w:rPr>
          <w:rFonts w:ascii="Times New Roman" w:eastAsia="Calibri" w:hAnsi="Times New Roman" w:cs="Times New Roman"/>
          <w:bCs/>
          <w:noProof/>
          <w:sz w:val="24"/>
        </w:rPr>
        <w:t xml:space="preserve"> </w:t>
      </w:r>
      <w:r w:rsidRPr="00763834">
        <w:rPr>
          <w:rFonts w:ascii="Times New Roman" w:eastAsia="Calibri" w:hAnsi="Times New Roman" w:cs="Times New Roman"/>
          <w:iCs/>
          <w:noProof/>
          <w:sz w:val="24"/>
        </w:rPr>
        <w:t>Shelterforce: The J</w:t>
      </w:r>
      <w:r w:rsidRPr="00763834">
        <w:rPr>
          <w:rFonts w:ascii="Times New Roman" w:eastAsia="Calibri" w:hAnsi="Times New Roman" w:cs="Times New Roman"/>
          <w:bCs/>
          <w:iCs/>
          <w:noProof/>
          <w:sz w:val="24"/>
        </w:rPr>
        <w:t xml:space="preserve">ournal of </w:t>
      </w:r>
      <w:r w:rsidRPr="00763834">
        <w:rPr>
          <w:rFonts w:ascii="Times New Roman" w:eastAsia="Calibri" w:hAnsi="Times New Roman" w:cs="Times New Roman"/>
          <w:iCs/>
          <w:noProof/>
          <w:sz w:val="24"/>
        </w:rPr>
        <w:t>Affordable Housing and Community B</w:t>
      </w:r>
      <w:r w:rsidRPr="00763834">
        <w:rPr>
          <w:rFonts w:ascii="Times New Roman" w:eastAsia="Calibri" w:hAnsi="Times New Roman" w:cs="Times New Roman"/>
          <w:bCs/>
          <w:iCs/>
          <w:noProof/>
          <w:sz w:val="24"/>
        </w:rPr>
        <w:t>uilding</w:t>
      </w:r>
      <w:r w:rsidRPr="00763834">
        <w:rPr>
          <w:rFonts w:ascii="Times New Roman" w:eastAsia="Calibri" w:hAnsi="Times New Roman" w:cs="Times New Roman"/>
          <w:iCs/>
          <w:noProof/>
          <w:sz w:val="24"/>
        </w:rPr>
        <w:t>.</w:t>
      </w:r>
    </w:p>
    <w:p w:rsidR="001D69C6" w:rsidRDefault="001D69C6" w:rsidP="001D69C6">
      <w:pPr>
        <w:spacing w:after="0"/>
        <w:rPr>
          <w:rFonts w:ascii="Times New Roman" w:hAnsi="Times New Roman" w:cs="Times New Roman"/>
          <w:color w:val="222222"/>
          <w:sz w:val="24"/>
          <w:szCs w:val="24"/>
          <w:shd w:val="clear" w:color="auto" w:fill="FFFFFF"/>
        </w:rPr>
      </w:pPr>
    </w:p>
    <w:p w:rsidR="001D69C6" w:rsidRDefault="001D69C6" w:rsidP="001D69C6">
      <w:pPr>
        <w:spacing w:after="0"/>
        <w:rPr>
          <w:rFonts w:ascii="Times New Roman" w:hAnsi="Times New Roman" w:cs="Times New Roman"/>
          <w:color w:val="222222"/>
          <w:sz w:val="24"/>
          <w:szCs w:val="24"/>
          <w:shd w:val="clear" w:color="auto" w:fill="FFFFFF"/>
        </w:rPr>
      </w:pPr>
      <w:r w:rsidRPr="00D52085">
        <w:rPr>
          <w:rFonts w:ascii="Times New Roman" w:hAnsi="Times New Roman" w:cs="Times New Roman"/>
          <w:color w:val="222222"/>
          <w:sz w:val="24"/>
          <w:szCs w:val="24"/>
          <w:shd w:val="clear" w:color="auto" w:fill="FFFFFF"/>
        </w:rPr>
        <w:t>U.S. Department of Housing and Urban Development.</w:t>
      </w:r>
      <w:r>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color w:val="222222"/>
          <w:sz w:val="24"/>
          <w:szCs w:val="24"/>
          <w:shd w:val="clear" w:color="auto" w:fill="FFFFFF"/>
        </w:rPr>
        <w:t xml:space="preserve">(2006, January). </w:t>
      </w:r>
      <w:r w:rsidRPr="00D52085">
        <w:rPr>
          <w:rFonts w:ascii="Times New Roman" w:hAnsi="Times New Roman" w:cs="Times New Roman"/>
          <w:i/>
          <w:iCs/>
          <w:color w:val="222222"/>
          <w:sz w:val="24"/>
          <w:szCs w:val="24"/>
          <w:shd w:val="clear" w:color="auto" w:fill="FFFFFF"/>
        </w:rPr>
        <w:t xml:space="preserve">Housing impact analysis. </w:t>
      </w:r>
      <w:r w:rsidRPr="00D52085">
        <w:rPr>
          <w:rFonts w:ascii="Times New Roman" w:hAnsi="Times New Roman" w:cs="Times New Roman"/>
          <w:color w:val="222222"/>
          <w:sz w:val="24"/>
          <w:szCs w:val="24"/>
          <w:shd w:val="clear" w:color="auto" w:fill="FFFFFF"/>
        </w:rPr>
        <w:t>Washington,</w:t>
      </w:r>
      <w:r>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color w:val="222222"/>
          <w:sz w:val="24"/>
          <w:szCs w:val="24"/>
          <w:shd w:val="clear" w:color="auto" w:fill="FFFFFF"/>
        </w:rPr>
        <w:t>DC: U.S. Government Printing Office.</w:t>
      </w:r>
    </w:p>
    <w:p w:rsidR="001D69C6" w:rsidRDefault="001D69C6" w:rsidP="001D69C6">
      <w:pPr>
        <w:spacing w:after="0"/>
        <w:rPr>
          <w:rFonts w:ascii="Times New Roman" w:hAnsi="Times New Roman" w:cs="Times New Roman"/>
          <w:color w:val="222222"/>
          <w:sz w:val="24"/>
          <w:szCs w:val="24"/>
          <w:shd w:val="clear" w:color="auto" w:fill="FFFFFF"/>
        </w:rPr>
      </w:pPr>
    </w:p>
    <w:p w:rsidR="001D69C6" w:rsidRDefault="001D69C6" w:rsidP="001D69C6">
      <w:pPr>
        <w:spacing w:after="0"/>
        <w:rPr>
          <w:rFonts w:ascii="Times New Roman" w:hAnsi="Times New Roman" w:cs="Times New Roman"/>
          <w:color w:val="222222"/>
          <w:sz w:val="24"/>
          <w:szCs w:val="24"/>
          <w:shd w:val="clear" w:color="auto" w:fill="FFFFFF"/>
        </w:rPr>
      </w:pPr>
      <w:r w:rsidRPr="00D52085">
        <w:rPr>
          <w:rFonts w:ascii="Times New Roman" w:hAnsi="Times New Roman" w:cs="Times New Roman"/>
          <w:color w:val="222222"/>
          <w:sz w:val="24"/>
          <w:szCs w:val="24"/>
          <w:shd w:val="clear" w:color="auto" w:fill="FFFFFF"/>
        </w:rPr>
        <w:t>Yip, N. M., &amp; Lau, K. Y. (2002). Setting rent with reference</w:t>
      </w:r>
      <w:r>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color w:val="222222"/>
          <w:sz w:val="24"/>
          <w:szCs w:val="24"/>
          <w:shd w:val="clear" w:color="auto" w:fill="FFFFFF"/>
        </w:rPr>
        <w:t>to tenants’ affordability: Public housing rent</w:t>
      </w:r>
      <w:r>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color w:val="222222"/>
          <w:sz w:val="24"/>
          <w:szCs w:val="24"/>
          <w:shd w:val="clear" w:color="auto" w:fill="FFFFFF"/>
        </w:rPr>
        <w:t xml:space="preserve">policy in Hong Kong. </w:t>
      </w:r>
      <w:r w:rsidRPr="00D52085">
        <w:rPr>
          <w:rFonts w:ascii="Times New Roman" w:hAnsi="Times New Roman" w:cs="Times New Roman"/>
          <w:i/>
          <w:iCs/>
          <w:color w:val="222222"/>
          <w:sz w:val="24"/>
          <w:szCs w:val="24"/>
          <w:shd w:val="clear" w:color="auto" w:fill="FFFFFF"/>
        </w:rPr>
        <w:t>Journal of Housing and the</w:t>
      </w:r>
      <w:r>
        <w:rPr>
          <w:rFonts w:ascii="Times New Roman" w:hAnsi="Times New Roman" w:cs="Times New Roman"/>
          <w:color w:val="222222"/>
          <w:sz w:val="24"/>
          <w:szCs w:val="24"/>
          <w:shd w:val="clear" w:color="auto" w:fill="FFFFFF"/>
        </w:rPr>
        <w:t xml:space="preserve"> </w:t>
      </w:r>
      <w:r w:rsidRPr="00D52085">
        <w:rPr>
          <w:rFonts w:ascii="Times New Roman" w:hAnsi="Times New Roman" w:cs="Times New Roman"/>
          <w:i/>
          <w:iCs/>
          <w:color w:val="222222"/>
          <w:sz w:val="24"/>
          <w:szCs w:val="24"/>
          <w:shd w:val="clear" w:color="auto" w:fill="FFFFFF"/>
        </w:rPr>
        <w:t>Built Environment, 17</w:t>
      </w:r>
      <w:r w:rsidRPr="00D52085">
        <w:rPr>
          <w:rFonts w:ascii="Times New Roman" w:hAnsi="Times New Roman" w:cs="Times New Roman"/>
          <w:color w:val="222222"/>
          <w:sz w:val="24"/>
          <w:szCs w:val="24"/>
          <w:shd w:val="clear" w:color="auto" w:fill="FFFFFF"/>
        </w:rPr>
        <w:t>(4), 409-418.</w:t>
      </w:r>
    </w:p>
    <w:p w:rsidR="00763834" w:rsidRPr="00763834" w:rsidRDefault="00763834" w:rsidP="00763834">
      <w:pPr>
        <w:spacing w:line="240" w:lineRule="auto"/>
        <w:rPr>
          <w:rFonts w:ascii="Times New Roman" w:eastAsia="Calibri" w:hAnsi="Times New Roman" w:cs="Times New Roman"/>
          <w:sz w:val="24"/>
        </w:rPr>
      </w:pPr>
    </w:p>
    <w:p w:rsidR="00C33192" w:rsidRDefault="00C33192" w:rsidP="00C33192">
      <w:pPr>
        <w:spacing w:after="0" w:line="240" w:lineRule="auto"/>
        <w:rPr>
          <w:rFonts w:ascii="Times New Roman" w:eastAsia="Calibri" w:hAnsi="Times New Roman" w:cs="Times New Roman"/>
          <w:sz w:val="24"/>
        </w:rPr>
      </w:pPr>
    </w:p>
    <w:p w:rsidR="00C33192" w:rsidRDefault="00C33192" w:rsidP="00C33192">
      <w:pPr>
        <w:spacing w:after="0" w:line="240" w:lineRule="auto"/>
        <w:rPr>
          <w:rFonts w:ascii="Times New Roman" w:eastAsia="Calibri" w:hAnsi="Times New Roman" w:cs="Times New Roman"/>
          <w:sz w:val="24"/>
        </w:rPr>
      </w:pPr>
    </w:p>
    <w:p w:rsidR="005930A6" w:rsidRDefault="005930A6">
      <w:pPr>
        <w:rPr>
          <w:rFonts w:ascii="Times New Roman" w:eastAsia="Calibri" w:hAnsi="Times New Roman" w:cs="Times New Roman"/>
          <w:sz w:val="24"/>
        </w:rPr>
      </w:pPr>
      <w:r>
        <w:rPr>
          <w:rFonts w:ascii="Times New Roman" w:eastAsia="Calibri" w:hAnsi="Times New Roman" w:cs="Times New Roman"/>
          <w:sz w:val="24"/>
        </w:rPr>
        <w:br w:type="page"/>
      </w:r>
    </w:p>
    <w:p w:rsidR="00C33192" w:rsidRDefault="00C33192" w:rsidP="009F38B4">
      <w:pPr>
        <w:spacing w:after="0" w:line="480" w:lineRule="auto"/>
        <w:rPr>
          <w:rFonts w:ascii="Times New Roman" w:eastAsia="Calibri" w:hAnsi="Times New Roman" w:cs="Times New Roman"/>
          <w:sz w:val="24"/>
        </w:rPr>
      </w:pPr>
      <w:r w:rsidRPr="00763834">
        <w:rPr>
          <w:rFonts w:ascii="Times New Roman" w:eastAsia="Calibri" w:hAnsi="Times New Roman" w:cs="Times New Roman"/>
          <w:sz w:val="24"/>
        </w:rPr>
        <w:lastRenderedPageBreak/>
        <w:t xml:space="preserve">Table 1. </w:t>
      </w:r>
      <w:r>
        <w:rPr>
          <w:rFonts w:ascii="Times New Roman" w:eastAsia="Calibri" w:hAnsi="Times New Roman" w:cs="Times New Roman"/>
          <w:sz w:val="24"/>
        </w:rPr>
        <w:t>15</w:t>
      </w:r>
      <w:r w:rsidRPr="00763834">
        <w:rPr>
          <w:rFonts w:ascii="Times New Roman" w:eastAsia="Calibri" w:hAnsi="Times New Roman" w:cs="Times New Roman"/>
          <w:sz w:val="24"/>
        </w:rPr>
        <w:t>-Reg</w:t>
      </w:r>
      <w:r>
        <w:rPr>
          <w:rFonts w:ascii="Times New Roman" w:eastAsia="Calibri" w:hAnsi="Times New Roman" w:cs="Times New Roman"/>
          <w:sz w:val="24"/>
        </w:rPr>
        <w:t>ion Integrated Travel Database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350"/>
        <w:gridCol w:w="1710"/>
        <w:gridCol w:w="1530"/>
      </w:tblGrid>
      <w:tr w:rsidR="00C33192" w:rsidRPr="00FB56A0" w:rsidTr="00C33192">
        <w:tc>
          <w:tcPr>
            <w:tcW w:w="2430" w:type="dxa"/>
            <w:shd w:val="clear" w:color="auto" w:fill="auto"/>
            <w:vAlign w:val="bottom"/>
          </w:tcPr>
          <w:p w:rsidR="00C33192" w:rsidRPr="003E2541" w:rsidRDefault="00C33192" w:rsidP="00737FEE">
            <w:pPr>
              <w:keepNext/>
              <w:keepLines/>
              <w:spacing w:after="0" w:line="240" w:lineRule="auto"/>
              <w:rPr>
                <w:rFonts w:ascii="Times New Roman" w:eastAsia="Calibri" w:hAnsi="Times New Roman" w:cs="Times New Roman"/>
                <w:sz w:val="24"/>
              </w:rPr>
            </w:pPr>
          </w:p>
        </w:tc>
        <w:tc>
          <w:tcPr>
            <w:tcW w:w="1350" w:type="dxa"/>
            <w:shd w:val="clear" w:color="auto" w:fill="auto"/>
            <w:vAlign w:val="bottom"/>
          </w:tcPr>
          <w:p w:rsidR="00C33192" w:rsidRPr="003E2541" w:rsidRDefault="00C33192" w:rsidP="00737FEE">
            <w:pPr>
              <w:keepNext/>
              <w:keepLines/>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Survey Date</w:t>
            </w:r>
          </w:p>
        </w:tc>
        <w:tc>
          <w:tcPr>
            <w:tcW w:w="1710" w:type="dxa"/>
            <w:shd w:val="clear" w:color="auto" w:fill="auto"/>
            <w:vAlign w:val="bottom"/>
          </w:tcPr>
          <w:p w:rsidR="00C33192" w:rsidRPr="003E2541" w:rsidRDefault="00C33192" w:rsidP="00737FEE">
            <w:pPr>
              <w:keepNext/>
              <w:keepLines/>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All </w:t>
            </w:r>
            <w:r w:rsidRPr="003E2541">
              <w:rPr>
                <w:rFonts w:ascii="Times New Roman" w:eastAsia="Calibri" w:hAnsi="Times New Roman" w:cs="Times New Roman"/>
                <w:sz w:val="24"/>
              </w:rPr>
              <w:t>Households</w:t>
            </w:r>
          </w:p>
        </w:tc>
        <w:tc>
          <w:tcPr>
            <w:tcW w:w="1530" w:type="dxa"/>
            <w:shd w:val="clear" w:color="auto" w:fill="auto"/>
            <w:vAlign w:val="bottom"/>
          </w:tcPr>
          <w:p w:rsidR="00C33192" w:rsidRPr="003E2541" w:rsidRDefault="00C33192" w:rsidP="00737FEE">
            <w:pPr>
              <w:keepNext/>
              <w:keepLines/>
              <w:spacing w:after="0" w:line="240" w:lineRule="auto"/>
              <w:rPr>
                <w:rFonts w:ascii="Times New Roman" w:eastAsia="Calibri" w:hAnsi="Times New Roman" w:cs="Times New Roman"/>
                <w:sz w:val="24"/>
              </w:rPr>
            </w:pPr>
            <w:r>
              <w:rPr>
                <w:rFonts w:ascii="Times New Roman" w:eastAsia="Calibri" w:hAnsi="Times New Roman" w:cs="Times New Roman"/>
                <w:sz w:val="24"/>
              </w:rPr>
              <w:t>Low-Income Households</w:t>
            </w:r>
          </w:p>
        </w:tc>
      </w:tr>
      <w:tr w:rsidR="00C33192" w:rsidRPr="00FB56A0" w:rsidTr="00C33192">
        <w:tc>
          <w:tcPr>
            <w:tcW w:w="2430" w:type="dxa"/>
            <w:shd w:val="clear" w:color="auto" w:fill="auto"/>
            <w:vAlign w:val="bottom"/>
          </w:tcPr>
          <w:p w:rsidR="00C33192" w:rsidRPr="003E2541" w:rsidRDefault="00C33192" w:rsidP="00737FEE">
            <w:pPr>
              <w:keepNext/>
              <w:keepLines/>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Atlanta</w:t>
            </w:r>
          </w:p>
        </w:tc>
        <w:tc>
          <w:tcPr>
            <w:tcW w:w="1350" w:type="dxa"/>
            <w:shd w:val="clear" w:color="auto" w:fill="auto"/>
            <w:vAlign w:val="bottom"/>
          </w:tcPr>
          <w:p w:rsidR="00C33192" w:rsidRPr="003E2541" w:rsidRDefault="00C33192" w:rsidP="00737FEE">
            <w:pPr>
              <w:keepNext/>
              <w:keepLines/>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2011</w:t>
            </w:r>
          </w:p>
        </w:tc>
        <w:tc>
          <w:tcPr>
            <w:tcW w:w="1710" w:type="dxa"/>
            <w:shd w:val="clear" w:color="auto" w:fill="auto"/>
            <w:vAlign w:val="bottom"/>
          </w:tcPr>
          <w:p w:rsidR="00C33192" w:rsidRPr="003E2541" w:rsidRDefault="00C33192" w:rsidP="00737FEE">
            <w:pPr>
              <w:keepNext/>
              <w:keepLines/>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9,575</w:t>
            </w:r>
          </w:p>
        </w:tc>
        <w:tc>
          <w:tcPr>
            <w:tcW w:w="1530" w:type="dxa"/>
            <w:shd w:val="clear" w:color="auto" w:fill="auto"/>
            <w:vAlign w:val="bottom"/>
          </w:tcPr>
          <w:p w:rsidR="00C33192" w:rsidRPr="007D5B01" w:rsidRDefault="00C33192" w:rsidP="00737FEE">
            <w:pPr>
              <w:keepNext/>
              <w:keepLines/>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2,486</w:t>
            </w:r>
          </w:p>
        </w:tc>
      </w:tr>
      <w:tr w:rsidR="00C33192" w:rsidRPr="00FB56A0" w:rsidTr="00C33192">
        <w:trPr>
          <w:trHeight w:val="260"/>
        </w:trPr>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Austin</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2005</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1,450</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301</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Boston</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2011</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7,826</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1,281</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Denver</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2010</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5,551</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450</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Detroit</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2005</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939</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416</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Eugene</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2011</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1,679</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1,010</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Houston</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2008</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5,276</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2,069</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Kansas City</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2004</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3,022</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2,356</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Minneapolis-St. Paul</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2010</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8,234</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1,198</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Portland</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2011</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4,513</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517</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Provo-Orem</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2012</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1,464</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1,126</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Sacramento</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2000</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3,520</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923</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Salt Lake City</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2012</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3,491</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615</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San Antonio</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2007</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1,563</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1,022</w:t>
            </w:r>
          </w:p>
        </w:tc>
      </w:tr>
      <w:tr w:rsidR="00C33192" w:rsidRPr="00FB56A0" w:rsidTr="00C33192">
        <w:tc>
          <w:tcPr>
            <w:tcW w:w="2430" w:type="dxa"/>
            <w:shd w:val="clear" w:color="auto" w:fill="auto"/>
            <w:vAlign w:val="bottom"/>
          </w:tcPr>
          <w:p w:rsidR="00C33192" w:rsidRPr="003E2541" w:rsidRDefault="00C33192" w:rsidP="00C33192">
            <w:pPr>
              <w:spacing w:after="0" w:line="240" w:lineRule="auto"/>
              <w:rPr>
                <w:rFonts w:ascii="Times New Roman" w:eastAsia="Calibri" w:hAnsi="Times New Roman" w:cs="Times New Roman"/>
                <w:sz w:val="24"/>
              </w:rPr>
            </w:pPr>
            <w:r w:rsidRPr="003E2541">
              <w:rPr>
                <w:rFonts w:ascii="Times New Roman" w:eastAsia="Calibri" w:hAnsi="Times New Roman" w:cs="Times New Roman"/>
                <w:sz w:val="24"/>
              </w:rPr>
              <w:t>Seattle</w:t>
            </w:r>
          </w:p>
        </w:tc>
        <w:tc>
          <w:tcPr>
            <w:tcW w:w="135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2006</w:t>
            </w:r>
          </w:p>
        </w:tc>
        <w:tc>
          <w:tcPr>
            <w:tcW w:w="1710" w:type="dxa"/>
            <w:shd w:val="clear" w:color="auto" w:fill="auto"/>
            <w:vAlign w:val="bottom"/>
          </w:tcPr>
          <w:p w:rsidR="00C33192" w:rsidRPr="003E2541" w:rsidRDefault="00C33192" w:rsidP="00C33192">
            <w:pPr>
              <w:spacing w:after="0" w:line="240" w:lineRule="auto"/>
              <w:jc w:val="right"/>
              <w:rPr>
                <w:rFonts w:ascii="Times New Roman" w:eastAsia="Calibri" w:hAnsi="Times New Roman" w:cs="Times New Roman"/>
                <w:sz w:val="24"/>
              </w:rPr>
            </w:pPr>
            <w:r w:rsidRPr="003E2541">
              <w:rPr>
                <w:rFonts w:ascii="Times New Roman" w:eastAsia="Calibri" w:hAnsi="Times New Roman" w:cs="Times New Roman"/>
                <w:sz w:val="24"/>
              </w:rPr>
              <w:t>3,908</w:t>
            </w:r>
          </w:p>
        </w:tc>
        <w:tc>
          <w:tcPr>
            <w:tcW w:w="1530" w:type="dxa"/>
            <w:shd w:val="clear" w:color="auto" w:fill="auto"/>
            <w:vAlign w:val="bottom"/>
          </w:tcPr>
          <w:p w:rsidR="00C33192" w:rsidRPr="007D5B01" w:rsidRDefault="00C33192" w:rsidP="00C33192">
            <w:pPr>
              <w:spacing w:after="0" w:line="240" w:lineRule="auto"/>
              <w:jc w:val="right"/>
              <w:rPr>
                <w:rFonts w:ascii="Times New Roman" w:eastAsia="Calibri" w:hAnsi="Times New Roman" w:cs="Times New Roman"/>
                <w:sz w:val="24"/>
              </w:rPr>
            </w:pPr>
            <w:r w:rsidRPr="007D5B01">
              <w:rPr>
                <w:rFonts w:ascii="Times New Roman" w:eastAsia="Calibri" w:hAnsi="Times New Roman" w:cs="Times New Roman"/>
                <w:sz w:val="24"/>
              </w:rPr>
              <w:t>2,146</w:t>
            </w:r>
          </w:p>
        </w:tc>
      </w:tr>
      <w:tr w:rsidR="00C33192" w:rsidRPr="00317915" w:rsidTr="00C33192">
        <w:tc>
          <w:tcPr>
            <w:tcW w:w="2430" w:type="dxa"/>
            <w:shd w:val="clear" w:color="auto" w:fill="auto"/>
            <w:vAlign w:val="bottom"/>
          </w:tcPr>
          <w:p w:rsidR="00C33192" w:rsidRPr="00C33192" w:rsidRDefault="00C33192" w:rsidP="00C33192">
            <w:pPr>
              <w:spacing w:after="0" w:line="240" w:lineRule="auto"/>
              <w:rPr>
                <w:rFonts w:ascii="Times New Roman" w:eastAsia="Calibri" w:hAnsi="Times New Roman" w:cs="Times New Roman"/>
                <w:b/>
                <w:sz w:val="24"/>
              </w:rPr>
            </w:pPr>
            <w:r w:rsidRPr="00C33192">
              <w:rPr>
                <w:rFonts w:ascii="Times New Roman" w:eastAsia="Calibri" w:hAnsi="Times New Roman" w:cs="Times New Roman"/>
                <w:b/>
                <w:sz w:val="24"/>
              </w:rPr>
              <w:t>Total</w:t>
            </w:r>
          </w:p>
        </w:tc>
        <w:tc>
          <w:tcPr>
            <w:tcW w:w="1350" w:type="dxa"/>
            <w:shd w:val="clear" w:color="auto" w:fill="auto"/>
            <w:vAlign w:val="bottom"/>
          </w:tcPr>
          <w:p w:rsidR="00C33192" w:rsidRPr="00C33192" w:rsidRDefault="00C33192" w:rsidP="00C33192">
            <w:pPr>
              <w:spacing w:after="0" w:line="240" w:lineRule="auto"/>
              <w:jc w:val="right"/>
              <w:rPr>
                <w:rFonts w:ascii="Times New Roman" w:eastAsia="Calibri" w:hAnsi="Times New Roman" w:cs="Times New Roman"/>
                <w:b/>
                <w:sz w:val="24"/>
              </w:rPr>
            </w:pPr>
          </w:p>
        </w:tc>
        <w:tc>
          <w:tcPr>
            <w:tcW w:w="1710" w:type="dxa"/>
            <w:shd w:val="clear" w:color="auto" w:fill="auto"/>
            <w:vAlign w:val="bottom"/>
          </w:tcPr>
          <w:p w:rsidR="00C33192" w:rsidRPr="00C33192" w:rsidRDefault="00C33192" w:rsidP="00C33192">
            <w:pPr>
              <w:spacing w:after="0" w:line="240" w:lineRule="auto"/>
              <w:jc w:val="right"/>
              <w:rPr>
                <w:rFonts w:ascii="Times New Roman" w:eastAsia="Calibri" w:hAnsi="Times New Roman" w:cs="Times New Roman"/>
                <w:b/>
                <w:sz w:val="24"/>
              </w:rPr>
            </w:pPr>
            <w:r w:rsidRPr="00C33192">
              <w:rPr>
                <w:rFonts w:ascii="Times New Roman" w:eastAsia="Calibri" w:hAnsi="Times New Roman" w:cs="Times New Roman"/>
                <w:b/>
                <w:sz w:val="24"/>
              </w:rPr>
              <w:t>62,011</w:t>
            </w:r>
          </w:p>
        </w:tc>
        <w:tc>
          <w:tcPr>
            <w:tcW w:w="1530" w:type="dxa"/>
            <w:shd w:val="clear" w:color="auto" w:fill="auto"/>
            <w:vAlign w:val="bottom"/>
          </w:tcPr>
          <w:p w:rsidR="00C33192" w:rsidRPr="00C33192" w:rsidRDefault="00C33192" w:rsidP="00C33192">
            <w:pPr>
              <w:spacing w:after="0" w:line="240" w:lineRule="auto"/>
              <w:jc w:val="right"/>
              <w:rPr>
                <w:rFonts w:ascii="Times New Roman" w:eastAsia="Calibri" w:hAnsi="Times New Roman" w:cs="Times New Roman"/>
                <w:b/>
                <w:sz w:val="24"/>
              </w:rPr>
            </w:pPr>
            <w:r w:rsidRPr="00C33192">
              <w:rPr>
                <w:rFonts w:ascii="Times New Roman" w:eastAsia="Calibri" w:hAnsi="Times New Roman" w:cs="Times New Roman"/>
                <w:b/>
                <w:sz w:val="24"/>
              </w:rPr>
              <w:t>17,916</w:t>
            </w:r>
          </w:p>
        </w:tc>
      </w:tr>
    </w:tbl>
    <w:p w:rsidR="00C33192" w:rsidRDefault="00C33192" w:rsidP="00C33192">
      <w:pPr>
        <w:pStyle w:val="Heading2"/>
        <w:spacing w:line="480" w:lineRule="auto"/>
      </w:pPr>
    </w:p>
    <w:p w:rsidR="00FD75DF" w:rsidRDefault="00FD75DF" w:rsidP="00E74916">
      <w:pPr>
        <w:spacing w:line="480" w:lineRule="auto"/>
        <w:rPr>
          <w:rFonts w:ascii="Times New Roman" w:eastAsia="Calibri" w:hAnsi="Times New Roman" w:cs="Times New Roman"/>
          <w:sz w:val="24"/>
        </w:rPr>
      </w:pPr>
    </w:p>
    <w:p w:rsidR="00C33192" w:rsidRDefault="00C33192" w:rsidP="00E74916">
      <w:pPr>
        <w:spacing w:line="480" w:lineRule="auto"/>
        <w:rPr>
          <w:rFonts w:ascii="Times New Roman" w:eastAsia="Calibri" w:hAnsi="Times New Roman" w:cs="Times New Roman"/>
          <w:sz w:val="24"/>
        </w:rPr>
      </w:pPr>
    </w:p>
    <w:p w:rsidR="00C33192" w:rsidRDefault="00C33192" w:rsidP="00E74916">
      <w:pPr>
        <w:spacing w:line="480" w:lineRule="auto"/>
        <w:rPr>
          <w:rFonts w:ascii="Times New Roman" w:eastAsia="Calibri" w:hAnsi="Times New Roman" w:cs="Times New Roman"/>
          <w:sz w:val="24"/>
        </w:rPr>
      </w:pPr>
    </w:p>
    <w:p w:rsidR="00C33192" w:rsidRDefault="00C33192" w:rsidP="00E74916">
      <w:pPr>
        <w:spacing w:line="480" w:lineRule="auto"/>
        <w:rPr>
          <w:rFonts w:ascii="Times New Roman" w:eastAsia="Calibri" w:hAnsi="Times New Roman" w:cs="Times New Roman"/>
          <w:sz w:val="24"/>
        </w:rPr>
      </w:pPr>
    </w:p>
    <w:p w:rsidR="00C33192" w:rsidRDefault="00C33192" w:rsidP="00E74916">
      <w:pPr>
        <w:spacing w:line="480" w:lineRule="auto"/>
        <w:rPr>
          <w:rFonts w:ascii="Times New Roman" w:eastAsia="Calibri" w:hAnsi="Times New Roman" w:cs="Times New Roman"/>
          <w:sz w:val="24"/>
        </w:rPr>
      </w:pPr>
    </w:p>
    <w:p w:rsidR="00C33192" w:rsidRDefault="00C33192" w:rsidP="00E74916">
      <w:pPr>
        <w:spacing w:line="480" w:lineRule="auto"/>
        <w:rPr>
          <w:rFonts w:ascii="Times New Roman" w:eastAsia="Calibri" w:hAnsi="Times New Roman" w:cs="Times New Roman"/>
          <w:sz w:val="24"/>
        </w:rPr>
      </w:pPr>
    </w:p>
    <w:p w:rsidR="00737FEE" w:rsidRDefault="00737FEE" w:rsidP="00737FEE">
      <w:pPr>
        <w:keepNext/>
        <w:keepLines/>
        <w:spacing w:after="0" w:line="240" w:lineRule="auto"/>
        <w:rPr>
          <w:rFonts w:ascii="Times New Roman" w:eastAsia="Calibri" w:hAnsi="Times New Roman" w:cs="Times New Roman"/>
          <w:sz w:val="24"/>
        </w:rPr>
      </w:pPr>
    </w:p>
    <w:p w:rsidR="00737FEE" w:rsidRDefault="00737FEE" w:rsidP="00737FEE">
      <w:pPr>
        <w:keepNext/>
        <w:keepLines/>
        <w:spacing w:after="0" w:line="240" w:lineRule="auto"/>
        <w:rPr>
          <w:rFonts w:ascii="Times New Roman" w:eastAsia="Calibri" w:hAnsi="Times New Roman" w:cs="Times New Roman"/>
          <w:sz w:val="24"/>
        </w:rPr>
      </w:pPr>
    </w:p>
    <w:p w:rsidR="00737FEE" w:rsidRDefault="00737FEE" w:rsidP="00737FEE">
      <w:pPr>
        <w:spacing w:after="0" w:line="240" w:lineRule="auto"/>
        <w:rPr>
          <w:rFonts w:ascii="Times New Roman" w:eastAsia="Calibri" w:hAnsi="Times New Roman" w:cs="Times New Roman"/>
          <w:sz w:val="24"/>
        </w:rPr>
      </w:pPr>
    </w:p>
    <w:p w:rsidR="00737FEE" w:rsidRDefault="00737FEE" w:rsidP="00737FEE">
      <w:pPr>
        <w:spacing w:after="0" w:line="240" w:lineRule="auto"/>
        <w:rPr>
          <w:rFonts w:ascii="Times New Roman" w:eastAsia="Calibri" w:hAnsi="Times New Roman" w:cs="Times New Roman"/>
          <w:sz w:val="24"/>
        </w:rPr>
      </w:pPr>
    </w:p>
    <w:p w:rsidR="00737FEE" w:rsidRDefault="00737FEE" w:rsidP="00737FEE">
      <w:pPr>
        <w:spacing w:after="0" w:line="240" w:lineRule="auto"/>
        <w:rPr>
          <w:rFonts w:ascii="Times New Roman" w:eastAsia="Calibri" w:hAnsi="Times New Roman" w:cs="Times New Roman"/>
          <w:sz w:val="24"/>
        </w:rPr>
      </w:pPr>
    </w:p>
    <w:p w:rsidR="00C33192" w:rsidRPr="00763834" w:rsidRDefault="00C33192" w:rsidP="009F38B4">
      <w:pPr>
        <w:spacing w:after="0" w:line="480" w:lineRule="auto"/>
        <w:rPr>
          <w:rFonts w:ascii="Times New Roman" w:eastAsia="Calibri" w:hAnsi="Times New Roman" w:cs="Times New Roman"/>
          <w:sz w:val="24"/>
        </w:rPr>
      </w:pPr>
      <w:r>
        <w:rPr>
          <w:rFonts w:ascii="Times New Roman" w:eastAsia="Calibri" w:hAnsi="Times New Roman" w:cs="Times New Roman"/>
          <w:sz w:val="24"/>
        </w:rPr>
        <w:lastRenderedPageBreak/>
        <w:t>Table 2</w:t>
      </w:r>
      <w:r w:rsidRPr="00763834">
        <w:rPr>
          <w:rFonts w:ascii="Times New Roman" w:eastAsia="Calibri" w:hAnsi="Times New Roman" w:cs="Times New Roman"/>
          <w:sz w:val="24"/>
        </w:rPr>
        <w:t>. Category, Definition and Scale of Variables Proposed for Use in the Hous</w:t>
      </w:r>
      <w:r>
        <w:rPr>
          <w:rFonts w:ascii="Times New Roman" w:eastAsia="Calibri" w:hAnsi="Times New Roman" w:cs="Times New Roman"/>
          <w:sz w:val="24"/>
        </w:rPr>
        <w:t>ehold Transportation Cost Model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ayout w:type="fixed"/>
        <w:tblLook w:val="0000" w:firstRow="0" w:lastRow="0" w:firstColumn="0" w:lastColumn="0" w:noHBand="0" w:noVBand="0"/>
      </w:tblPr>
      <w:tblGrid>
        <w:gridCol w:w="1908"/>
        <w:gridCol w:w="990"/>
        <w:gridCol w:w="5040"/>
        <w:gridCol w:w="1350"/>
      </w:tblGrid>
      <w:tr w:rsidR="00C33192" w:rsidRPr="00763834" w:rsidTr="00C33192">
        <w:trPr>
          <w:trHeight w:val="255"/>
        </w:trPr>
        <w:tc>
          <w:tcPr>
            <w:tcW w:w="1908" w:type="dxa"/>
            <w:shd w:val="clear" w:color="auto" w:fill="auto"/>
            <w:noWrap/>
          </w:tcPr>
          <w:p w:rsidR="00C33192" w:rsidRPr="00871163" w:rsidRDefault="00C33192" w:rsidP="00737FEE">
            <w:pPr>
              <w:spacing w:after="0" w:line="240" w:lineRule="auto"/>
              <w:rPr>
                <w:rFonts w:ascii="Times New Roman" w:eastAsia="Calibri" w:hAnsi="Times New Roman" w:cs="Times New Roman"/>
              </w:rPr>
            </w:pPr>
            <w:r w:rsidRPr="00871163">
              <w:rPr>
                <w:rFonts w:ascii="Times New Roman" w:eastAsia="Calibri" w:hAnsi="Times New Roman" w:cs="Times New Roman"/>
              </w:rPr>
              <w:t>Category</w:t>
            </w:r>
          </w:p>
        </w:tc>
        <w:tc>
          <w:tcPr>
            <w:tcW w:w="990" w:type="dxa"/>
            <w:shd w:val="clear" w:color="auto" w:fill="auto"/>
          </w:tcPr>
          <w:p w:rsidR="00C33192" w:rsidRPr="00871163" w:rsidDel="001B4745" w:rsidRDefault="00C33192" w:rsidP="00737FEE">
            <w:pPr>
              <w:spacing w:after="0" w:line="240" w:lineRule="auto"/>
              <w:rPr>
                <w:rFonts w:ascii="Times New Roman" w:eastAsia="Calibri" w:hAnsi="Times New Roman" w:cs="Times New Roman"/>
              </w:rPr>
            </w:pPr>
            <w:r w:rsidRPr="00871163">
              <w:rPr>
                <w:rFonts w:ascii="Times New Roman" w:eastAsia="Calibri" w:hAnsi="Times New Roman" w:cs="Times New Roman"/>
              </w:rPr>
              <w:t>Symbol</w:t>
            </w:r>
          </w:p>
        </w:tc>
        <w:tc>
          <w:tcPr>
            <w:tcW w:w="5040" w:type="dxa"/>
            <w:shd w:val="clear" w:color="auto" w:fill="auto"/>
            <w:noWrap/>
          </w:tcPr>
          <w:p w:rsidR="00C33192" w:rsidRPr="00871163" w:rsidRDefault="00C33192" w:rsidP="00737FEE">
            <w:pPr>
              <w:spacing w:after="0" w:line="240" w:lineRule="auto"/>
              <w:rPr>
                <w:rFonts w:ascii="Times New Roman" w:eastAsia="Calibri" w:hAnsi="Times New Roman" w:cs="Times New Roman"/>
              </w:rPr>
            </w:pPr>
            <w:r w:rsidRPr="00871163">
              <w:rPr>
                <w:rFonts w:ascii="Times New Roman" w:eastAsia="Calibri" w:hAnsi="Times New Roman" w:cs="Times New Roman"/>
              </w:rPr>
              <w:t>Definition</w:t>
            </w:r>
          </w:p>
        </w:tc>
        <w:tc>
          <w:tcPr>
            <w:tcW w:w="1350" w:type="dxa"/>
            <w:shd w:val="clear" w:color="auto" w:fill="auto"/>
          </w:tcPr>
          <w:p w:rsidR="00C33192" w:rsidRPr="00871163" w:rsidRDefault="00C33192" w:rsidP="00737FEE">
            <w:pPr>
              <w:spacing w:after="0" w:line="240" w:lineRule="auto"/>
              <w:rPr>
                <w:rFonts w:ascii="Times New Roman" w:eastAsia="Calibri" w:hAnsi="Times New Roman" w:cs="Times New Roman"/>
              </w:rPr>
            </w:pPr>
            <w:r w:rsidRPr="00871163">
              <w:rPr>
                <w:rFonts w:ascii="Times New Roman" w:eastAsia="Calibri" w:hAnsi="Times New Roman" w:cs="Times New Roman"/>
              </w:rPr>
              <w:t>Level</w:t>
            </w:r>
          </w:p>
        </w:tc>
      </w:tr>
      <w:tr w:rsidR="00C33192" w:rsidRPr="00763834" w:rsidTr="00C33192">
        <w:trPr>
          <w:trHeight w:val="255"/>
        </w:trPr>
        <w:tc>
          <w:tcPr>
            <w:tcW w:w="1908" w:type="dxa"/>
            <w:vMerge w:val="restart"/>
            <w:shd w:val="clear" w:color="auto" w:fill="auto"/>
            <w:noWrap/>
          </w:tcPr>
          <w:p w:rsidR="00C33192" w:rsidRPr="00871163" w:rsidRDefault="00C33192" w:rsidP="00737FEE">
            <w:pPr>
              <w:spacing w:after="0" w:line="240" w:lineRule="auto"/>
              <w:rPr>
                <w:rFonts w:ascii="Times New Roman" w:eastAsia="Calibri" w:hAnsi="Times New Roman" w:cs="Times New Roman"/>
              </w:rPr>
            </w:pPr>
            <w:r w:rsidRPr="00871163">
              <w:rPr>
                <w:rFonts w:ascii="Times New Roman" w:eastAsia="Calibri" w:hAnsi="Times New Roman" w:cs="Times New Roman"/>
              </w:rPr>
              <w:t>Outcome variables</w:t>
            </w:r>
          </w:p>
          <w:p w:rsidR="00C33192" w:rsidRPr="00871163" w:rsidRDefault="00C33192" w:rsidP="00737FEE">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737FEE">
            <w:pPr>
              <w:spacing w:after="0" w:line="240" w:lineRule="auto"/>
              <w:rPr>
                <w:rFonts w:ascii="Times New Roman" w:eastAsia="Calibri" w:hAnsi="Times New Roman" w:cs="Times New Roman"/>
              </w:rPr>
            </w:pPr>
            <w:r w:rsidRPr="00871163">
              <w:rPr>
                <w:rFonts w:ascii="Times New Roman" w:eastAsia="Calibri" w:hAnsi="Times New Roman" w:cs="Times New Roman"/>
              </w:rPr>
              <w:t>vmt</w:t>
            </w:r>
          </w:p>
        </w:tc>
        <w:tc>
          <w:tcPr>
            <w:tcW w:w="5040" w:type="dxa"/>
            <w:shd w:val="clear" w:color="auto" w:fill="auto"/>
            <w:noWrap/>
          </w:tcPr>
          <w:p w:rsidR="00C33192" w:rsidRPr="00871163" w:rsidRDefault="00C33192" w:rsidP="00737FEE">
            <w:pPr>
              <w:spacing w:after="0" w:line="240" w:lineRule="auto"/>
              <w:rPr>
                <w:rFonts w:ascii="Times New Roman" w:eastAsia="Calibri" w:hAnsi="Times New Roman" w:cs="Times New Roman"/>
              </w:rPr>
            </w:pPr>
            <w:r w:rsidRPr="00871163">
              <w:rPr>
                <w:rFonts w:ascii="Times New Roman" w:eastAsia="Calibri" w:hAnsi="Times New Roman" w:cs="Times New Roman"/>
              </w:rPr>
              <w:t>Household VMT</w:t>
            </w:r>
          </w:p>
        </w:tc>
        <w:tc>
          <w:tcPr>
            <w:tcW w:w="1350" w:type="dxa"/>
            <w:shd w:val="clear" w:color="auto" w:fill="auto"/>
          </w:tcPr>
          <w:p w:rsidR="00C33192" w:rsidRPr="00871163" w:rsidRDefault="00C33192" w:rsidP="00737FEE">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Pr>
                <w:rFonts w:ascii="Times New Roman" w:eastAsia="Calibri" w:hAnsi="Times New Roman" w:cs="Times New Roman"/>
              </w:rPr>
              <w:t>transit</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 xml:space="preserve">Household </w:t>
            </w:r>
            <w:r>
              <w:rPr>
                <w:rFonts w:ascii="Times New Roman" w:eastAsia="Calibri" w:hAnsi="Times New Roman" w:cs="Times New Roman"/>
              </w:rPr>
              <w:t xml:space="preserve">number of </w:t>
            </w:r>
            <w:r w:rsidRPr="00871163">
              <w:rPr>
                <w:rFonts w:ascii="Times New Roman" w:eastAsia="Calibri" w:hAnsi="Times New Roman" w:cs="Times New Roman"/>
              </w:rPr>
              <w:t>transit trips</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veh</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Number of household vehicles</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val="restart"/>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 sociodemographic variables</w:t>
            </w: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hsize</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Number of household members</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emp</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Number of household workers</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inc</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 income (in 1982 dollars)</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val="restart"/>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Transit variables</w:t>
            </w: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rail</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Rail station within a half mile (dummy variable; yes=1, no=0)</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Pr>
                <w:rFonts w:ascii="Times New Roman" w:eastAsia="Calibri" w:hAnsi="Times New Roman" w:cs="Times New Roman"/>
              </w:rPr>
              <w:t>tfreq</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Aggregate frequency of transit service within 0.25 miles of block group boundary per hour during evening peak period</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Pr>
                <w:rFonts w:ascii="Times New Roman" w:eastAsia="Calibri" w:hAnsi="Times New Roman" w:cs="Times New Roman"/>
              </w:rPr>
              <w:t>Block group</w:t>
            </w:r>
          </w:p>
        </w:tc>
      </w:tr>
      <w:tr w:rsidR="00C33192" w:rsidRPr="00763834" w:rsidTr="00C33192">
        <w:trPr>
          <w:trHeight w:val="255"/>
        </w:trPr>
        <w:tc>
          <w:tcPr>
            <w:tcW w:w="1908" w:type="dxa"/>
            <w:vMerge w:val="restart"/>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Built environmental variables</w:t>
            </w:r>
          </w:p>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actden</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Activity density within a half mile (sum of population and employment divided by gross land area in square miles)</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jobpop</w:t>
            </w:r>
          </w:p>
        </w:tc>
        <w:tc>
          <w:tcPr>
            <w:tcW w:w="5040" w:type="dxa"/>
            <w:shd w:val="clear" w:color="auto" w:fill="auto"/>
            <w:noWrap/>
          </w:tcPr>
          <w:p w:rsidR="00C33192" w:rsidRPr="004E47EC" w:rsidRDefault="00C33192" w:rsidP="00C33192">
            <w:pPr>
              <w:spacing w:after="0" w:line="240" w:lineRule="auto"/>
              <w:rPr>
                <w:rFonts w:ascii="Times New Roman" w:eastAsia="Calibri" w:hAnsi="Times New Roman" w:cs="Times New Roman"/>
                <w:vertAlign w:val="superscript"/>
              </w:rPr>
            </w:pPr>
            <w:r w:rsidRPr="00871163">
              <w:rPr>
                <w:rFonts w:ascii="Times New Roman" w:eastAsia="Calibri" w:hAnsi="Times New Roman" w:cs="Times New Roman"/>
              </w:rPr>
              <w:t>Job-population balance within a  half mile  of a household (index ranging from 0, where only jobs or residents are present within a quarter mile, to 1, where there is one job per five residents)</w:t>
            </w:r>
            <w:r w:rsidR="004E47EC">
              <w:rPr>
                <w:rFonts w:ascii="Times New Roman" w:eastAsia="Calibri" w:hAnsi="Times New Roman" w:cs="Times New Roman"/>
                <w:vertAlign w:val="superscript"/>
              </w:rPr>
              <w:t>1</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entropy</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Land use mix within a half mile of a household (entropy index based on net acreage in different land use categories that ranges from 0, where all developed land is in one use, to 1, where developed land is evenly divided among uses)</w:t>
            </w:r>
            <w:r w:rsidR="004E47EC">
              <w:rPr>
                <w:rFonts w:ascii="Times New Roman" w:eastAsia="Malgun Gothic" w:hAnsi="Times New Roman" w:cs="Times New Roman"/>
                <w:vertAlign w:val="superscript"/>
              </w:rPr>
              <w:t>2</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intden</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Intersection density within a half mile (number of intersections divided by gross land area in square miles)</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int4way</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Proportion of 4-way intersections with a half mile (4 or more way intersections divided by total intersections)</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Pr>
                <w:rFonts w:ascii="Times New Roman" w:eastAsia="Calibri" w:hAnsi="Times New Roman" w:cs="Times New Roman"/>
              </w:rPr>
              <w:t>emp10</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Proportion of regional employment accessible within a 10 minute travel time via automobile</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Pr>
                <w:rFonts w:ascii="Times New Roman" w:eastAsia="Calibri" w:hAnsi="Times New Roman" w:cs="Times New Roman"/>
              </w:rPr>
              <w:t>emp20</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Proportion of regional employment accessible within a 10 minute travel time via automobile</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Pr>
                <w:rFonts w:ascii="Times New Roman" w:eastAsia="Calibri" w:hAnsi="Times New Roman" w:cs="Times New Roman"/>
              </w:rPr>
              <w:t>emp30</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Proportion of regional employment accessible within a 10 minute travel time via automobile</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Household</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Default="00C33192" w:rsidP="00C33192">
            <w:pPr>
              <w:spacing w:after="0" w:line="240" w:lineRule="auto"/>
              <w:rPr>
                <w:rFonts w:ascii="Times New Roman" w:eastAsia="Calibri" w:hAnsi="Times New Roman" w:cs="Times New Roman"/>
              </w:rPr>
            </w:pPr>
            <w:r>
              <w:rPr>
                <w:rFonts w:ascii="Times New Roman" w:eastAsia="Calibri" w:hAnsi="Times New Roman" w:cs="Times New Roman"/>
              </w:rPr>
              <w:t>sf</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Pr>
                <w:rFonts w:ascii="Times New Roman" w:eastAsia="Calibri" w:hAnsi="Times New Roman" w:cs="Times New Roman"/>
              </w:rPr>
              <w:t>Single family housing unit</w:t>
            </w:r>
            <w:r w:rsidRPr="00871163">
              <w:rPr>
                <w:rFonts w:ascii="Times New Roman" w:eastAsia="Calibri" w:hAnsi="Times New Roman" w:cs="Times New Roman"/>
              </w:rPr>
              <w:t xml:space="preserve"> (dummy variable; yes=1, no=0)</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p>
        </w:tc>
      </w:tr>
      <w:tr w:rsidR="00C33192" w:rsidRPr="00763834" w:rsidTr="00C33192">
        <w:trPr>
          <w:trHeight w:val="255"/>
        </w:trPr>
        <w:tc>
          <w:tcPr>
            <w:tcW w:w="1908" w:type="dxa"/>
            <w:vMerge w:val="restart"/>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Regional</w:t>
            </w:r>
          </w:p>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variables</w:t>
            </w: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rpop</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Total regional population</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Regional</w:t>
            </w:r>
          </w:p>
        </w:tc>
      </w:tr>
      <w:tr w:rsidR="00C33192" w:rsidRPr="00763834" w:rsidTr="00C33192">
        <w:trPr>
          <w:trHeight w:val="255"/>
        </w:trPr>
        <w:tc>
          <w:tcPr>
            <w:tcW w:w="1908" w:type="dxa"/>
            <w:vMerge/>
            <w:shd w:val="clear" w:color="auto" w:fill="auto"/>
            <w:noWrap/>
          </w:tcPr>
          <w:p w:rsidR="00C33192" w:rsidRPr="00871163" w:rsidRDefault="00C33192" w:rsidP="00C33192">
            <w:pPr>
              <w:spacing w:after="0" w:line="240" w:lineRule="auto"/>
              <w:rPr>
                <w:rFonts w:ascii="Times New Roman" w:eastAsia="Calibri" w:hAnsi="Times New Roman" w:cs="Times New Roman"/>
              </w:rPr>
            </w:pPr>
          </w:p>
        </w:tc>
        <w:tc>
          <w:tcPr>
            <w:tcW w:w="99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ind</w:t>
            </w:r>
            <w:r>
              <w:rPr>
                <w:rFonts w:ascii="Times New Roman" w:eastAsia="Calibri" w:hAnsi="Times New Roman" w:cs="Times New Roman"/>
              </w:rPr>
              <w:t>ex</w:t>
            </w:r>
          </w:p>
        </w:tc>
        <w:tc>
          <w:tcPr>
            <w:tcW w:w="5040" w:type="dxa"/>
            <w:shd w:val="clear" w:color="auto" w:fill="auto"/>
            <w:noWrap/>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Regional compactness index (index measuring compactness vs. sprawl based on a combination of four factors that measure density, land use mix, degree of centering, and street accessibility); higher values signify great compactness</w:t>
            </w:r>
            <w:r>
              <w:rPr>
                <w:rStyle w:val="EndnoteReference"/>
                <w:rFonts w:ascii="Times New Roman" w:eastAsia="Calibri" w:hAnsi="Times New Roman" w:cs="Times New Roman"/>
              </w:rPr>
              <w:endnoteReference w:id="3"/>
            </w:r>
            <w:r>
              <w:rPr>
                <w:rFonts w:ascii="Times New Roman" w:eastAsia="Calibri" w:hAnsi="Times New Roman" w:cs="Times New Roman"/>
              </w:rPr>
              <w:t xml:space="preserve"> (Ewing and Hamidi, 2014)</w:t>
            </w:r>
          </w:p>
        </w:tc>
        <w:tc>
          <w:tcPr>
            <w:tcW w:w="1350" w:type="dxa"/>
            <w:shd w:val="clear" w:color="auto" w:fill="auto"/>
          </w:tcPr>
          <w:p w:rsidR="00C33192" w:rsidRPr="00871163" w:rsidRDefault="00C33192" w:rsidP="00C33192">
            <w:pPr>
              <w:spacing w:after="0" w:line="240" w:lineRule="auto"/>
              <w:rPr>
                <w:rFonts w:ascii="Times New Roman" w:eastAsia="Calibri" w:hAnsi="Times New Roman" w:cs="Times New Roman"/>
              </w:rPr>
            </w:pPr>
            <w:r w:rsidRPr="00871163">
              <w:rPr>
                <w:rFonts w:ascii="Times New Roman" w:eastAsia="Calibri" w:hAnsi="Times New Roman" w:cs="Times New Roman"/>
              </w:rPr>
              <w:t>Regional</w:t>
            </w:r>
          </w:p>
        </w:tc>
      </w:tr>
    </w:tbl>
    <w:p w:rsidR="009F38B4" w:rsidRDefault="009F38B4" w:rsidP="00C33192">
      <w:pPr>
        <w:spacing w:after="0" w:line="240" w:lineRule="auto"/>
        <w:rPr>
          <w:rFonts w:ascii="Times New Roman" w:eastAsia="Calibri" w:hAnsi="Times New Roman" w:cs="Times New Roman"/>
          <w:sz w:val="24"/>
        </w:rPr>
      </w:pPr>
    </w:p>
    <w:p w:rsidR="004E47EC" w:rsidRDefault="004E47EC" w:rsidP="004E47EC">
      <w:pPr>
        <w:pStyle w:val="PlainText"/>
      </w:pPr>
      <w:r>
        <w:rPr>
          <w:rStyle w:val="FootnoteReference"/>
        </w:rPr>
        <w:lastRenderedPageBreak/>
        <w:footnoteRef/>
      </w:r>
      <w:r>
        <w:t xml:space="preserve"> </w:t>
      </w:r>
      <w:r w:rsidRPr="0090746A">
        <w:rPr>
          <w:rFonts w:ascii="Times New Roman" w:hAnsi="Times New Roman"/>
        </w:rPr>
        <w:t>The job-population i</w:t>
      </w:r>
      <w:r w:rsidRPr="00660FB9">
        <w:rPr>
          <w:rFonts w:ascii="Times New Roman" w:hAnsi="Times New Roman"/>
        </w:rPr>
        <w:t xml:space="preserve">ndex that measures balance between employment and resident population within </w:t>
      </w:r>
      <w:r>
        <w:rPr>
          <w:rFonts w:ascii="Times New Roman" w:hAnsi="Times New Roman"/>
        </w:rPr>
        <w:t xml:space="preserve">a </w:t>
      </w:r>
      <w:r w:rsidRPr="004E3315">
        <w:rPr>
          <w:rFonts w:ascii="Times New Roman" w:hAnsi="Times New Roman"/>
        </w:rPr>
        <w:t>buffer</w:t>
      </w:r>
      <w:r w:rsidRPr="00660FB9">
        <w:rPr>
          <w:rFonts w:ascii="Times New Roman" w:hAnsi="Times New Roman"/>
        </w:rPr>
        <w:t xml:space="preserve">. Index ranges from 0, where only jobs or residents are present </w:t>
      </w:r>
      <w:r>
        <w:rPr>
          <w:rFonts w:ascii="Times New Roman" w:hAnsi="Times New Roman"/>
        </w:rPr>
        <w:t>with</w:t>
      </w:r>
      <w:r w:rsidRPr="00660FB9">
        <w:rPr>
          <w:rFonts w:ascii="Times New Roman" w:hAnsi="Times New Roman"/>
        </w:rPr>
        <w:t xml:space="preserve">in </w:t>
      </w:r>
      <w:r w:rsidRPr="004E3315">
        <w:rPr>
          <w:rFonts w:ascii="Times New Roman" w:hAnsi="Times New Roman"/>
        </w:rPr>
        <w:t>a buffer</w:t>
      </w:r>
      <w:r w:rsidRPr="00660FB9">
        <w:rPr>
          <w:rFonts w:ascii="Times New Roman" w:hAnsi="Times New Roman"/>
        </w:rPr>
        <w:t xml:space="preserve">, not both, to 1 where the ratio of jobs to residents is optimal from the standpoint of trip generation. Values are intermediate when </w:t>
      </w:r>
      <w:r>
        <w:rPr>
          <w:rFonts w:ascii="Times New Roman" w:hAnsi="Times New Roman"/>
        </w:rPr>
        <w:t>buffers</w:t>
      </w:r>
      <w:r w:rsidRPr="00660FB9">
        <w:rPr>
          <w:rFonts w:ascii="Times New Roman" w:hAnsi="Times New Roman"/>
        </w:rPr>
        <w:t xml:space="preserve"> have both jobs and residents, but one predominates</w:t>
      </w:r>
      <w:r>
        <w:t xml:space="preserve">. </w:t>
      </w:r>
    </w:p>
    <w:p w:rsidR="004E47EC" w:rsidRDefault="004E47EC" w:rsidP="004E47EC">
      <w:pPr>
        <w:pStyle w:val="PlainText"/>
      </w:pPr>
    </w:p>
    <w:p w:rsidR="004E47EC" w:rsidRPr="00681548" w:rsidRDefault="004E47EC" w:rsidP="004E47EC">
      <w:pPr>
        <w:pStyle w:val="PlainText"/>
        <w:rPr>
          <w:rFonts w:ascii="Times New Roman" w:hAnsi="Times New Roman"/>
        </w:rPr>
      </w:pPr>
      <w:r>
        <w:rPr>
          <w:rFonts w:ascii="Times New Roman" w:hAnsi="Times New Roman"/>
        </w:rPr>
        <w:t>jobpop = 1 – [ABS (employment –</w:t>
      </w:r>
      <w:r w:rsidRPr="00681548">
        <w:rPr>
          <w:rFonts w:ascii="Times New Roman" w:hAnsi="Times New Roman"/>
        </w:rPr>
        <w:t xml:space="preserve"> </w:t>
      </w:r>
      <w:r>
        <w:rPr>
          <w:rFonts w:ascii="Times New Roman" w:hAnsi="Times New Roman"/>
        </w:rPr>
        <w:t>0.2</w:t>
      </w:r>
      <w:r w:rsidRPr="00681548">
        <w:rPr>
          <w:rFonts w:ascii="Times New Roman" w:hAnsi="Times New Roman"/>
        </w:rPr>
        <w:t>*</w:t>
      </w:r>
      <w:r>
        <w:rPr>
          <w:rFonts w:ascii="Times New Roman" w:hAnsi="Times New Roman"/>
        </w:rPr>
        <w:t>population</w:t>
      </w:r>
      <w:r w:rsidRPr="00681548">
        <w:rPr>
          <w:rFonts w:ascii="Times New Roman" w:hAnsi="Times New Roman"/>
        </w:rPr>
        <w:t>)/(</w:t>
      </w:r>
      <w:r>
        <w:rPr>
          <w:rFonts w:ascii="Times New Roman" w:hAnsi="Times New Roman"/>
        </w:rPr>
        <w:t>employment</w:t>
      </w:r>
      <w:r w:rsidRPr="00681548">
        <w:rPr>
          <w:rFonts w:ascii="Times New Roman" w:hAnsi="Times New Roman"/>
        </w:rPr>
        <w:t xml:space="preserve"> + </w:t>
      </w:r>
      <w:r>
        <w:rPr>
          <w:rFonts w:ascii="Times New Roman" w:hAnsi="Times New Roman"/>
        </w:rPr>
        <w:t>0.2</w:t>
      </w:r>
      <w:r w:rsidRPr="00681548">
        <w:rPr>
          <w:rFonts w:ascii="Times New Roman" w:hAnsi="Times New Roman"/>
        </w:rPr>
        <w:t>*</w:t>
      </w:r>
      <w:r>
        <w:rPr>
          <w:rFonts w:ascii="Times New Roman" w:hAnsi="Times New Roman"/>
        </w:rPr>
        <w:t>population</w:t>
      </w:r>
      <w:r w:rsidRPr="00681548">
        <w:rPr>
          <w:rFonts w:ascii="Times New Roman" w:hAnsi="Times New Roman"/>
        </w:rPr>
        <w:t>)]</w:t>
      </w:r>
    </w:p>
    <w:p w:rsidR="004E47EC" w:rsidRDefault="004E47EC" w:rsidP="004E47EC">
      <w:pPr>
        <w:pStyle w:val="PlainText"/>
        <w:rPr>
          <w:rFonts w:ascii="Times New Roman" w:hAnsi="Times New Roman"/>
        </w:rPr>
      </w:pPr>
    </w:p>
    <w:p w:rsidR="004E47EC" w:rsidRDefault="004E47EC" w:rsidP="004E47EC">
      <w:pPr>
        <w:pStyle w:val="PlainText"/>
        <w:rPr>
          <w:rFonts w:ascii="Times New Roman" w:hAnsi="Times New Roman"/>
        </w:rPr>
      </w:pPr>
      <w:r w:rsidRPr="00681548">
        <w:rPr>
          <w:rFonts w:ascii="Times New Roman" w:hAnsi="Times New Roman"/>
        </w:rPr>
        <w:t xml:space="preserve">ABS is the absolute value of the expression in parentheses. </w:t>
      </w:r>
      <w:r>
        <w:rPr>
          <w:rFonts w:ascii="Times New Roman" w:hAnsi="Times New Roman"/>
        </w:rPr>
        <w:t>The value 0.2, representing a balance of employment and population, was found through trial and error to maximize the explanatory power of the variable</w:t>
      </w:r>
      <w:r w:rsidRPr="00681548">
        <w:rPr>
          <w:rFonts w:ascii="Times New Roman" w:hAnsi="Times New Roman"/>
        </w:rPr>
        <w:t>.</w:t>
      </w:r>
    </w:p>
    <w:p w:rsidR="004E47EC" w:rsidRPr="004E3315" w:rsidRDefault="004E47EC" w:rsidP="004E47EC">
      <w:pPr>
        <w:pStyle w:val="PlainText"/>
        <w:rPr>
          <w:rFonts w:ascii="Times New Roman" w:hAnsi="Times New Roman"/>
        </w:rPr>
      </w:pPr>
    </w:p>
    <w:p w:rsidR="004E47EC" w:rsidRDefault="004E47EC" w:rsidP="004E47EC">
      <w:pPr>
        <w:pStyle w:val="PlainText"/>
      </w:pPr>
      <w:r>
        <w:rPr>
          <w:rStyle w:val="FootnoteReference"/>
        </w:rPr>
        <w:t>2</w:t>
      </w:r>
      <w:r>
        <w:t xml:space="preserve"> </w:t>
      </w:r>
      <w:r w:rsidRPr="0090746A">
        <w:rPr>
          <w:rFonts w:ascii="Times New Roman" w:hAnsi="Times New Roman"/>
        </w:rPr>
        <w:t>The entropy index measures balance between three different land use</w:t>
      </w:r>
      <w:r>
        <w:rPr>
          <w:rFonts w:ascii="Times New Roman" w:hAnsi="Times New Roman"/>
        </w:rPr>
        <w:t>s</w:t>
      </w:r>
      <w:r w:rsidRPr="0090746A">
        <w:rPr>
          <w:rFonts w:ascii="Times New Roman" w:hAnsi="Times New Roman"/>
        </w:rPr>
        <w:t>.  Index ranges from 0, where all land is in a single use, to 1 where land is evenly divided among the three use</w:t>
      </w:r>
      <w:r>
        <w:rPr>
          <w:rFonts w:ascii="Times New Roman" w:hAnsi="Times New Roman"/>
        </w:rPr>
        <w:t>s</w:t>
      </w:r>
      <w:r w:rsidRPr="0090746A">
        <w:rPr>
          <w:rFonts w:ascii="Times New Roman" w:hAnsi="Times New Roman"/>
        </w:rPr>
        <w:t xml:space="preserve">.  </w:t>
      </w:r>
      <w:r>
        <w:rPr>
          <w:rFonts w:ascii="Times New Roman" w:hAnsi="Times New Roman"/>
        </w:rPr>
        <w:t xml:space="preserve">Values are intermediate when buffers have more than one use but one use predominates. </w:t>
      </w:r>
      <w:r w:rsidRPr="00480F78">
        <w:rPr>
          <w:rFonts w:ascii="Times New Roman" w:hAnsi="Times New Roman"/>
        </w:rPr>
        <w:t>The entropy calculation is:</w:t>
      </w:r>
      <w:r>
        <w:t xml:space="preserve"> </w:t>
      </w:r>
    </w:p>
    <w:p w:rsidR="004E47EC" w:rsidRDefault="004E47EC" w:rsidP="004E47EC">
      <w:pPr>
        <w:pStyle w:val="PlainText"/>
      </w:pPr>
    </w:p>
    <w:p w:rsidR="004E47EC" w:rsidRDefault="004E47EC" w:rsidP="004E47EC">
      <w:pPr>
        <w:pStyle w:val="PlainText"/>
        <w:rPr>
          <w:rFonts w:ascii="Times New Roman" w:hAnsi="Times New Roman"/>
        </w:rPr>
      </w:pPr>
      <w:r>
        <w:rPr>
          <w:rFonts w:ascii="Times New Roman" w:hAnsi="Times New Roman"/>
        </w:rPr>
        <w:t>entropy = -[residential share*ln</w:t>
      </w:r>
      <w:r w:rsidRPr="00681548">
        <w:rPr>
          <w:rFonts w:ascii="Times New Roman" w:hAnsi="Times New Roman"/>
        </w:rPr>
        <w:t xml:space="preserve"> (</w:t>
      </w:r>
      <w:r>
        <w:rPr>
          <w:rFonts w:ascii="Times New Roman" w:hAnsi="Times New Roman"/>
        </w:rPr>
        <w:t>residential</w:t>
      </w:r>
      <w:r w:rsidRPr="00681548">
        <w:rPr>
          <w:rFonts w:ascii="Times New Roman" w:hAnsi="Times New Roman"/>
        </w:rPr>
        <w:t xml:space="preserve"> share) + </w:t>
      </w:r>
      <w:r>
        <w:rPr>
          <w:rFonts w:ascii="Times New Roman" w:hAnsi="Times New Roman"/>
        </w:rPr>
        <w:t xml:space="preserve">commercial share*ln </w:t>
      </w:r>
      <w:r w:rsidRPr="00681548">
        <w:rPr>
          <w:rFonts w:ascii="Times New Roman" w:hAnsi="Times New Roman"/>
        </w:rPr>
        <w:t>(</w:t>
      </w:r>
      <w:r>
        <w:rPr>
          <w:rFonts w:ascii="Times New Roman" w:hAnsi="Times New Roman"/>
        </w:rPr>
        <w:t>commercial</w:t>
      </w:r>
      <w:r w:rsidRPr="00681548">
        <w:rPr>
          <w:rFonts w:ascii="Times New Roman" w:hAnsi="Times New Roman"/>
        </w:rPr>
        <w:t xml:space="preserve"> share) +</w:t>
      </w:r>
      <w:r>
        <w:rPr>
          <w:rFonts w:ascii="Times New Roman" w:hAnsi="Times New Roman"/>
        </w:rPr>
        <w:t xml:space="preserve"> public share*ln (public share)]/ ln (3)</w:t>
      </w:r>
    </w:p>
    <w:p w:rsidR="004E47EC" w:rsidRDefault="004E47EC" w:rsidP="004E47EC">
      <w:pPr>
        <w:pStyle w:val="PlainText"/>
        <w:rPr>
          <w:rFonts w:ascii="Times New Roman" w:hAnsi="Times New Roman"/>
        </w:rPr>
      </w:pPr>
    </w:p>
    <w:p w:rsidR="004E47EC" w:rsidRPr="00681548" w:rsidRDefault="004E47EC" w:rsidP="004E47EC">
      <w:pPr>
        <w:pStyle w:val="PlainText"/>
        <w:rPr>
          <w:rFonts w:ascii="Times New Roman" w:hAnsi="Times New Roman"/>
        </w:rPr>
      </w:pPr>
      <w:r>
        <w:rPr>
          <w:rFonts w:ascii="Times New Roman" w:hAnsi="Times New Roman"/>
        </w:rPr>
        <w:t>where ln</w:t>
      </w:r>
      <w:r w:rsidRPr="00681548">
        <w:rPr>
          <w:rFonts w:ascii="Times New Roman" w:hAnsi="Times New Roman"/>
        </w:rPr>
        <w:t xml:space="preserve"> is the natural logarithm of the value in parentheses</w:t>
      </w:r>
      <w:r>
        <w:rPr>
          <w:rFonts w:ascii="Times New Roman" w:hAnsi="Times New Roman"/>
        </w:rPr>
        <w:t xml:space="preserve"> and the shares are measured in terms of total parcel land areas.</w:t>
      </w:r>
    </w:p>
    <w:p w:rsidR="004E47EC" w:rsidRDefault="004E47EC" w:rsidP="00C33192">
      <w:pPr>
        <w:spacing w:after="0" w:line="240" w:lineRule="auto"/>
        <w:rPr>
          <w:rFonts w:ascii="Times New Roman" w:eastAsia="Calibri" w:hAnsi="Times New Roman" w:cs="Times New Roman"/>
          <w:sz w:val="24"/>
        </w:rPr>
      </w:pPr>
    </w:p>
    <w:p w:rsidR="005930A6" w:rsidRDefault="005930A6">
      <w:pPr>
        <w:rPr>
          <w:rFonts w:ascii="Times New Roman" w:eastAsia="Calibri" w:hAnsi="Times New Roman" w:cs="Times New Roman"/>
          <w:sz w:val="24"/>
        </w:rPr>
      </w:pPr>
      <w:r>
        <w:rPr>
          <w:rFonts w:ascii="Times New Roman" w:eastAsia="Calibri" w:hAnsi="Times New Roman" w:cs="Times New Roman"/>
          <w:sz w:val="24"/>
        </w:rPr>
        <w:br w:type="page"/>
      </w:r>
    </w:p>
    <w:p w:rsidR="00C33192" w:rsidRPr="00D81CB3" w:rsidRDefault="00C33192" w:rsidP="009F38B4">
      <w:pPr>
        <w:spacing w:after="0" w:line="480" w:lineRule="auto"/>
        <w:rPr>
          <w:rFonts w:ascii="Times New Roman" w:eastAsia="Calibri" w:hAnsi="Times New Roman" w:cs="Times New Roman"/>
          <w:sz w:val="24"/>
        </w:rPr>
      </w:pPr>
      <w:r w:rsidRPr="00D81CB3">
        <w:rPr>
          <w:rFonts w:ascii="Times New Roman" w:eastAsia="Calibri" w:hAnsi="Times New Roman" w:cs="Times New Roman"/>
          <w:sz w:val="24"/>
        </w:rPr>
        <w:lastRenderedPageBreak/>
        <w:t>Table 3.  Logistic Regression Model of Log Odds of Any Household VMT</w:t>
      </w:r>
    </w:p>
    <w:tbl>
      <w:tblPr>
        <w:tblW w:w="73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330"/>
        <w:gridCol w:w="1622"/>
        <w:gridCol w:w="1530"/>
        <w:gridCol w:w="1350"/>
      </w:tblGrid>
      <w:tr w:rsidR="00C33192" w:rsidRPr="00D81CB3" w:rsidTr="00C33192">
        <w:trPr>
          <w:trHeight w:val="315"/>
        </w:trPr>
        <w:tc>
          <w:tcPr>
            <w:tcW w:w="1475"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p>
        </w:tc>
        <w:tc>
          <w:tcPr>
            <w:tcW w:w="1330"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coefficient</w:t>
            </w:r>
          </w:p>
        </w:tc>
        <w:tc>
          <w:tcPr>
            <w:tcW w:w="1622"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standard error</w:t>
            </w:r>
          </w:p>
        </w:tc>
        <w:tc>
          <w:tcPr>
            <w:tcW w:w="1530"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t-ratio</w:t>
            </w:r>
          </w:p>
        </w:tc>
        <w:tc>
          <w:tcPr>
            <w:tcW w:w="1350"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p-value</w:t>
            </w:r>
          </w:p>
        </w:tc>
      </w:tr>
      <w:tr w:rsidR="00C33192" w:rsidRPr="00D81CB3" w:rsidTr="00C33192">
        <w:trPr>
          <w:trHeight w:val="315"/>
        </w:trPr>
        <w:tc>
          <w:tcPr>
            <w:tcW w:w="1475"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constant</w:t>
            </w:r>
          </w:p>
        </w:tc>
        <w:tc>
          <w:tcPr>
            <w:tcW w:w="133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1.72</w:t>
            </w:r>
          </w:p>
        </w:tc>
        <w:tc>
          <w:tcPr>
            <w:tcW w:w="1622"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0.172</w:t>
            </w:r>
          </w:p>
        </w:tc>
        <w:tc>
          <w:tcPr>
            <w:tcW w:w="153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9</w:t>
            </w:r>
            <w:r w:rsidRPr="00D81CB3">
              <w:rPr>
                <w:rFonts w:ascii="Times New Roman" w:eastAsia="Calibri" w:hAnsi="Times New Roman" w:cs="Times New Roman"/>
                <w:sz w:val="24"/>
              </w:rPr>
              <w:t>.96</w:t>
            </w:r>
          </w:p>
        </w:tc>
        <w:tc>
          <w:tcPr>
            <w:tcW w:w="1350" w:type="dxa"/>
            <w:shd w:val="clear" w:color="auto" w:fill="auto"/>
            <w:noWrap/>
            <w:vAlign w:val="center"/>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75"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hhsize</w:t>
            </w:r>
          </w:p>
        </w:tc>
        <w:tc>
          <w:tcPr>
            <w:tcW w:w="133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0.226</w:t>
            </w:r>
          </w:p>
        </w:tc>
        <w:tc>
          <w:tcPr>
            <w:tcW w:w="1622"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w:t>
            </w:r>
            <w:r>
              <w:rPr>
                <w:rFonts w:ascii="Times New Roman" w:eastAsia="Calibri" w:hAnsi="Times New Roman" w:cs="Times New Roman"/>
                <w:sz w:val="24"/>
              </w:rPr>
              <w:t>52</w:t>
            </w:r>
          </w:p>
        </w:tc>
        <w:tc>
          <w:tcPr>
            <w:tcW w:w="153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4.36</w:t>
            </w:r>
          </w:p>
        </w:tc>
        <w:tc>
          <w:tcPr>
            <w:tcW w:w="1350" w:type="dxa"/>
            <w:shd w:val="clear" w:color="auto" w:fill="auto"/>
            <w:noWrap/>
            <w:vAlign w:val="center"/>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75"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hhworkers</w:t>
            </w:r>
          </w:p>
        </w:tc>
        <w:tc>
          <w:tcPr>
            <w:tcW w:w="133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0.315</w:t>
            </w:r>
          </w:p>
        </w:tc>
        <w:tc>
          <w:tcPr>
            <w:tcW w:w="1622"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0.10</w:t>
            </w:r>
            <w:r w:rsidRPr="00D81CB3">
              <w:rPr>
                <w:rFonts w:ascii="Times New Roman" w:eastAsia="Calibri" w:hAnsi="Times New Roman" w:cs="Times New Roman"/>
                <w:sz w:val="24"/>
              </w:rPr>
              <w:t>3</w:t>
            </w:r>
          </w:p>
        </w:tc>
        <w:tc>
          <w:tcPr>
            <w:tcW w:w="153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3.</w:t>
            </w:r>
            <w:r>
              <w:rPr>
                <w:rFonts w:ascii="Times New Roman" w:eastAsia="Calibri" w:hAnsi="Times New Roman" w:cs="Times New Roman"/>
                <w:sz w:val="24"/>
              </w:rPr>
              <w:t>054</w:t>
            </w:r>
          </w:p>
        </w:tc>
        <w:tc>
          <w:tcPr>
            <w:tcW w:w="1350" w:type="dxa"/>
            <w:shd w:val="clear" w:color="auto" w:fill="auto"/>
            <w:noWrap/>
            <w:vAlign w:val="center"/>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0.003</w:t>
            </w:r>
          </w:p>
        </w:tc>
      </w:tr>
      <w:tr w:rsidR="00C33192" w:rsidRPr="00D81CB3" w:rsidTr="00C33192">
        <w:trPr>
          <w:trHeight w:val="315"/>
        </w:trPr>
        <w:tc>
          <w:tcPr>
            <w:tcW w:w="1475"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hhincome</w:t>
            </w:r>
          </w:p>
        </w:tc>
        <w:tc>
          <w:tcPr>
            <w:tcW w:w="133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0.03</w:t>
            </w:r>
            <w:r>
              <w:rPr>
                <w:rFonts w:ascii="Times New Roman" w:eastAsia="Calibri" w:hAnsi="Times New Roman" w:cs="Times New Roman"/>
                <w:sz w:val="24"/>
              </w:rPr>
              <w:t>31</w:t>
            </w:r>
          </w:p>
        </w:tc>
        <w:tc>
          <w:tcPr>
            <w:tcW w:w="1622"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30</w:t>
            </w:r>
          </w:p>
        </w:tc>
        <w:tc>
          <w:tcPr>
            <w:tcW w:w="153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11.00</w:t>
            </w:r>
          </w:p>
        </w:tc>
        <w:tc>
          <w:tcPr>
            <w:tcW w:w="1350" w:type="dxa"/>
            <w:shd w:val="clear" w:color="auto" w:fill="auto"/>
            <w:noWrap/>
            <w:vAlign w:val="center"/>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75" w:type="dxa"/>
            <w:shd w:val="clear" w:color="auto" w:fill="auto"/>
            <w:noWrap/>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sf</w:t>
            </w:r>
          </w:p>
        </w:tc>
        <w:tc>
          <w:tcPr>
            <w:tcW w:w="133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0.850</w:t>
            </w:r>
          </w:p>
        </w:tc>
        <w:tc>
          <w:tcPr>
            <w:tcW w:w="1622"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0.102</w:t>
            </w:r>
          </w:p>
        </w:tc>
        <w:tc>
          <w:tcPr>
            <w:tcW w:w="153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8.33</w:t>
            </w:r>
          </w:p>
        </w:tc>
        <w:tc>
          <w:tcPr>
            <w:tcW w:w="1350" w:type="dxa"/>
            <w:shd w:val="clear" w:color="auto" w:fill="auto"/>
            <w:noWrap/>
            <w:vAlign w:val="center"/>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75" w:type="dxa"/>
            <w:shd w:val="clear" w:color="auto" w:fill="auto"/>
            <w:noWrap/>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emp10a</w:t>
            </w:r>
          </w:p>
        </w:tc>
        <w:tc>
          <w:tcPr>
            <w:tcW w:w="133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-0.0224</w:t>
            </w:r>
          </w:p>
        </w:tc>
        <w:tc>
          <w:tcPr>
            <w:tcW w:w="1622"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61</w:t>
            </w:r>
          </w:p>
        </w:tc>
        <w:tc>
          <w:tcPr>
            <w:tcW w:w="153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3.67</w:t>
            </w:r>
          </w:p>
        </w:tc>
        <w:tc>
          <w:tcPr>
            <w:tcW w:w="1350" w:type="dxa"/>
            <w:shd w:val="clear" w:color="auto" w:fill="auto"/>
            <w:noWrap/>
            <w:vAlign w:val="center"/>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0.001</w:t>
            </w:r>
          </w:p>
        </w:tc>
      </w:tr>
      <w:tr w:rsidR="00C33192" w:rsidRPr="00D81CB3" w:rsidTr="00C33192">
        <w:trPr>
          <w:trHeight w:val="315"/>
        </w:trPr>
        <w:tc>
          <w:tcPr>
            <w:tcW w:w="1475"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entropyqmi</w:t>
            </w:r>
          </w:p>
        </w:tc>
        <w:tc>
          <w:tcPr>
            <w:tcW w:w="133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w:t>
            </w:r>
            <w:r>
              <w:rPr>
                <w:rFonts w:ascii="Times New Roman" w:eastAsia="Calibri" w:hAnsi="Times New Roman" w:cs="Times New Roman"/>
                <w:sz w:val="24"/>
              </w:rPr>
              <w:t>709</w:t>
            </w:r>
          </w:p>
        </w:tc>
        <w:tc>
          <w:tcPr>
            <w:tcW w:w="1622"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w:t>
            </w:r>
            <w:r>
              <w:rPr>
                <w:rFonts w:ascii="Times New Roman" w:eastAsia="Calibri" w:hAnsi="Times New Roman" w:cs="Times New Roman"/>
                <w:sz w:val="24"/>
              </w:rPr>
              <w:t>115</w:t>
            </w:r>
          </w:p>
        </w:tc>
        <w:tc>
          <w:tcPr>
            <w:tcW w:w="153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6.14</w:t>
            </w:r>
          </w:p>
        </w:tc>
        <w:tc>
          <w:tcPr>
            <w:tcW w:w="1350" w:type="dxa"/>
            <w:shd w:val="clear" w:color="auto" w:fill="auto"/>
            <w:noWrap/>
            <w:vAlign w:val="center"/>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75" w:type="dxa"/>
            <w:shd w:val="clear" w:color="auto" w:fill="auto"/>
            <w:noWrap/>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intdenhmi</w:t>
            </w:r>
          </w:p>
        </w:tc>
        <w:tc>
          <w:tcPr>
            <w:tcW w:w="133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-0.0025</w:t>
            </w:r>
          </w:p>
        </w:tc>
        <w:tc>
          <w:tcPr>
            <w:tcW w:w="1622"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0.0006</w:t>
            </w:r>
          </w:p>
        </w:tc>
        <w:tc>
          <w:tcPr>
            <w:tcW w:w="153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-4.</w:t>
            </w:r>
            <w:r>
              <w:rPr>
                <w:rFonts w:ascii="Times New Roman" w:eastAsia="Calibri" w:hAnsi="Times New Roman" w:cs="Times New Roman"/>
                <w:sz w:val="24"/>
              </w:rPr>
              <w:t>039</w:t>
            </w:r>
          </w:p>
        </w:tc>
        <w:tc>
          <w:tcPr>
            <w:tcW w:w="1350" w:type="dxa"/>
            <w:shd w:val="clear" w:color="auto" w:fill="auto"/>
            <w:noWrap/>
            <w:vAlign w:val="center"/>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75" w:type="dxa"/>
            <w:tcBorders>
              <w:bottom w:val="single" w:sz="4" w:space="0" w:color="auto"/>
            </w:tcBorders>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int4whmi</w:t>
            </w:r>
          </w:p>
        </w:tc>
        <w:tc>
          <w:tcPr>
            <w:tcW w:w="1330" w:type="dxa"/>
            <w:tcBorders>
              <w:bottom w:val="single" w:sz="4" w:space="0" w:color="auto"/>
            </w:tcBorders>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-0.01</w:t>
            </w:r>
            <w:r>
              <w:rPr>
                <w:rFonts w:ascii="Times New Roman" w:eastAsia="Calibri" w:hAnsi="Times New Roman" w:cs="Times New Roman"/>
                <w:sz w:val="24"/>
              </w:rPr>
              <w:t>29</w:t>
            </w:r>
          </w:p>
        </w:tc>
        <w:tc>
          <w:tcPr>
            <w:tcW w:w="1622" w:type="dxa"/>
            <w:tcBorders>
              <w:bottom w:val="single" w:sz="4" w:space="0" w:color="auto"/>
            </w:tcBorders>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0.001</w:t>
            </w:r>
            <w:r>
              <w:rPr>
                <w:rFonts w:ascii="Times New Roman" w:eastAsia="Calibri" w:hAnsi="Times New Roman" w:cs="Times New Roman"/>
                <w:sz w:val="24"/>
              </w:rPr>
              <w:t>5</w:t>
            </w:r>
          </w:p>
        </w:tc>
        <w:tc>
          <w:tcPr>
            <w:tcW w:w="1530" w:type="dxa"/>
            <w:tcBorders>
              <w:bottom w:val="single" w:sz="4" w:space="0" w:color="auto"/>
            </w:tcBorders>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8.51</w:t>
            </w:r>
          </w:p>
        </w:tc>
        <w:tc>
          <w:tcPr>
            <w:tcW w:w="1350" w:type="dxa"/>
            <w:tcBorders>
              <w:bottom w:val="single" w:sz="4" w:space="0" w:color="auto"/>
            </w:tcBorders>
            <w:shd w:val="clear" w:color="auto" w:fill="auto"/>
            <w:noWrap/>
            <w:vAlign w:val="center"/>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75" w:type="dxa"/>
            <w:tcBorders>
              <w:bottom w:val="nil"/>
            </w:tcBorders>
            <w:shd w:val="clear" w:color="auto" w:fill="auto"/>
            <w:noWrap/>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tfreq</w:t>
            </w:r>
          </w:p>
        </w:tc>
        <w:tc>
          <w:tcPr>
            <w:tcW w:w="1330" w:type="dxa"/>
            <w:tcBorders>
              <w:bottom w:val="nil"/>
            </w:tcBorders>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092</w:t>
            </w:r>
          </w:p>
        </w:tc>
        <w:tc>
          <w:tcPr>
            <w:tcW w:w="1622" w:type="dxa"/>
            <w:tcBorders>
              <w:bottom w:val="nil"/>
            </w:tcBorders>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02</w:t>
            </w:r>
          </w:p>
        </w:tc>
        <w:tc>
          <w:tcPr>
            <w:tcW w:w="1530" w:type="dxa"/>
            <w:tcBorders>
              <w:bottom w:val="nil"/>
            </w:tcBorders>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5.33</w:t>
            </w:r>
          </w:p>
        </w:tc>
        <w:tc>
          <w:tcPr>
            <w:tcW w:w="1350" w:type="dxa"/>
            <w:tcBorders>
              <w:bottom w:val="nil"/>
            </w:tcBorders>
            <w:shd w:val="clear" w:color="auto" w:fill="auto"/>
            <w:noWrap/>
            <w:vAlign w:val="center"/>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7307" w:type="dxa"/>
            <w:gridSpan w:val="5"/>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 xml:space="preserve">-2 log-likelihood ratio  </w:t>
            </w:r>
            <w:r w:rsidR="00285C99" w:rsidRPr="00285C99">
              <w:rPr>
                <w:rFonts w:ascii="Times New Roman" w:eastAsia="Calibri" w:hAnsi="Times New Roman" w:cs="Times New Roman"/>
                <w:sz w:val="24"/>
              </w:rPr>
              <w:t>44</w:t>
            </w:r>
            <w:r w:rsidR="00285C99">
              <w:rPr>
                <w:rFonts w:ascii="Times New Roman" w:eastAsia="Calibri" w:hAnsi="Times New Roman" w:cs="Times New Roman"/>
                <w:sz w:val="24"/>
              </w:rPr>
              <w:t>,</w:t>
            </w:r>
            <w:r w:rsidR="00285C99" w:rsidRPr="00285C99">
              <w:rPr>
                <w:rFonts w:ascii="Times New Roman" w:eastAsia="Calibri" w:hAnsi="Times New Roman" w:cs="Times New Roman"/>
                <w:sz w:val="24"/>
              </w:rPr>
              <w:t>084</w:t>
            </w:r>
          </w:p>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 xml:space="preserve">pseudo-R2  </w:t>
            </w:r>
            <w:r w:rsidR="000E075F">
              <w:rPr>
                <w:rFonts w:ascii="Times New Roman" w:eastAsia="Calibri" w:hAnsi="Times New Roman" w:cs="Times New Roman"/>
                <w:sz w:val="24"/>
              </w:rPr>
              <w:t>0.62</w:t>
            </w:r>
          </w:p>
        </w:tc>
      </w:tr>
    </w:tbl>
    <w:p w:rsidR="00C33192" w:rsidRDefault="00C33192" w:rsidP="00E74916">
      <w:pPr>
        <w:spacing w:line="480" w:lineRule="auto"/>
        <w:rPr>
          <w:rFonts w:ascii="Times New Roman" w:eastAsia="Calibri" w:hAnsi="Times New Roman" w:cs="Times New Roman"/>
          <w:sz w:val="24"/>
        </w:rPr>
      </w:pPr>
    </w:p>
    <w:p w:rsidR="00C33192" w:rsidRPr="00E74916" w:rsidRDefault="00C33192" w:rsidP="00E74916">
      <w:pPr>
        <w:spacing w:line="48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5930A6" w:rsidRDefault="005930A6">
      <w:pPr>
        <w:rPr>
          <w:rFonts w:ascii="Times New Roman" w:eastAsia="Calibri" w:hAnsi="Times New Roman" w:cs="Times New Roman"/>
          <w:sz w:val="24"/>
        </w:rPr>
      </w:pPr>
      <w:r>
        <w:rPr>
          <w:rFonts w:ascii="Times New Roman" w:eastAsia="Calibri" w:hAnsi="Times New Roman" w:cs="Times New Roman"/>
          <w:sz w:val="24"/>
        </w:rPr>
        <w:br w:type="page"/>
      </w:r>
    </w:p>
    <w:p w:rsidR="00C33192" w:rsidRPr="00D81CB3" w:rsidRDefault="00C33192" w:rsidP="009F38B4">
      <w:pPr>
        <w:spacing w:after="0" w:line="480" w:lineRule="auto"/>
        <w:rPr>
          <w:rFonts w:ascii="Times New Roman" w:eastAsia="Calibri" w:hAnsi="Times New Roman" w:cs="Times New Roman"/>
          <w:sz w:val="24"/>
        </w:rPr>
      </w:pPr>
      <w:r w:rsidRPr="00D81CB3">
        <w:rPr>
          <w:rFonts w:ascii="Times New Roman" w:eastAsia="Calibri" w:hAnsi="Times New Roman" w:cs="Times New Roman"/>
          <w:sz w:val="24"/>
        </w:rPr>
        <w:lastRenderedPageBreak/>
        <w:t>Table 4.  Linear Regression Model of Log of Household VM</w:t>
      </w:r>
      <w:r>
        <w:rPr>
          <w:rFonts w:ascii="Times New Roman" w:eastAsia="Calibri" w:hAnsi="Times New Roman" w:cs="Times New Roman"/>
          <w:sz w:val="24"/>
        </w:rPr>
        <w:t>T (for households with any VMT)</w:t>
      </w:r>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751"/>
        <w:gridCol w:w="1710"/>
        <w:gridCol w:w="1620"/>
        <w:gridCol w:w="1620"/>
      </w:tblGrid>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p>
        </w:tc>
        <w:tc>
          <w:tcPr>
            <w:tcW w:w="1751"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coefficient</w:t>
            </w:r>
          </w:p>
        </w:tc>
        <w:tc>
          <w:tcPr>
            <w:tcW w:w="1710"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standard error</w:t>
            </w:r>
          </w:p>
        </w:tc>
        <w:tc>
          <w:tcPr>
            <w:tcW w:w="1620"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t-ratio</w:t>
            </w:r>
          </w:p>
        </w:tc>
        <w:tc>
          <w:tcPr>
            <w:tcW w:w="1620"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p-value</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constant</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2.55</w:t>
            </w:r>
          </w:p>
        </w:tc>
        <w:tc>
          <w:tcPr>
            <w:tcW w:w="171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w:t>
            </w:r>
            <w:r>
              <w:rPr>
                <w:rFonts w:ascii="Times New Roman" w:eastAsia="Calibri" w:hAnsi="Times New Roman" w:cs="Times New Roman"/>
                <w:sz w:val="24"/>
              </w:rPr>
              <w:t>81</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31.</w:t>
            </w:r>
            <w:r>
              <w:rPr>
                <w:rFonts w:ascii="Times New Roman" w:eastAsia="Calibri" w:hAnsi="Times New Roman" w:cs="Times New Roman"/>
                <w:sz w:val="24"/>
              </w:rPr>
              <w:t>69</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hhsize</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0.1</w:t>
            </w:r>
            <w:r>
              <w:rPr>
                <w:rFonts w:ascii="Times New Roman" w:eastAsia="Calibri" w:hAnsi="Times New Roman" w:cs="Times New Roman"/>
                <w:sz w:val="24"/>
              </w:rPr>
              <w:t>64</w:t>
            </w:r>
          </w:p>
        </w:tc>
        <w:tc>
          <w:tcPr>
            <w:tcW w:w="171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0.024</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6.97</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hhworkers</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0.18</w:t>
            </w:r>
            <w:r>
              <w:rPr>
                <w:rFonts w:ascii="Times New Roman" w:eastAsia="Calibri" w:hAnsi="Times New Roman" w:cs="Times New Roman"/>
                <w:sz w:val="24"/>
              </w:rPr>
              <w:t>5</w:t>
            </w:r>
          </w:p>
        </w:tc>
        <w:tc>
          <w:tcPr>
            <w:tcW w:w="171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76</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24.2</w:t>
            </w:r>
            <w:r>
              <w:rPr>
                <w:rFonts w:ascii="Times New Roman" w:eastAsia="Calibri" w:hAnsi="Times New Roman" w:cs="Times New Roman"/>
                <w:sz w:val="24"/>
              </w:rPr>
              <w:t>8</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hhincome</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0.0072</w:t>
            </w:r>
          </w:p>
        </w:tc>
        <w:tc>
          <w:tcPr>
            <w:tcW w:w="171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0.0008</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9.06</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emp10a</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76</w:t>
            </w:r>
          </w:p>
        </w:tc>
        <w:tc>
          <w:tcPr>
            <w:tcW w:w="171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18</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4.13</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actdenhmi</w:t>
            </w:r>
          </w:p>
        </w:tc>
        <w:tc>
          <w:tcPr>
            <w:tcW w:w="1751"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-0.0046</w:t>
            </w:r>
          </w:p>
        </w:tc>
        <w:tc>
          <w:tcPr>
            <w:tcW w:w="171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0.001</w:t>
            </w:r>
            <w:r>
              <w:rPr>
                <w:rFonts w:ascii="Times New Roman" w:eastAsia="Calibri" w:hAnsi="Times New Roman" w:cs="Times New Roman"/>
                <w:sz w:val="24"/>
              </w:rPr>
              <w:t>4</w:t>
            </w:r>
          </w:p>
        </w:tc>
        <w:tc>
          <w:tcPr>
            <w:tcW w:w="162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-3.03</w:t>
            </w:r>
          </w:p>
        </w:tc>
        <w:tc>
          <w:tcPr>
            <w:tcW w:w="162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entropyhmi</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-0.2</w:t>
            </w:r>
            <w:r>
              <w:rPr>
                <w:rFonts w:ascii="Times New Roman" w:eastAsia="Calibri" w:hAnsi="Times New Roman" w:cs="Times New Roman"/>
                <w:sz w:val="24"/>
              </w:rPr>
              <w:t>97</w:t>
            </w:r>
          </w:p>
        </w:tc>
        <w:tc>
          <w:tcPr>
            <w:tcW w:w="171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0.037</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8.02</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intdenhmi</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-0.0015</w:t>
            </w:r>
          </w:p>
        </w:tc>
        <w:tc>
          <w:tcPr>
            <w:tcW w:w="171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0.000</w:t>
            </w:r>
            <w:r>
              <w:rPr>
                <w:rFonts w:ascii="Times New Roman" w:eastAsia="Calibri" w:hAnsi="Times New Roman" w:cs="Times New Roman"/>
                <w:sz w:val="24"/>
              </w:rPr>
              <w:t>18</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8.37</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int4whmi</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-0.0026</w:t>
            </w:r>
          </w:p>
        </w:tc>
        <w:tc>
          <w:tcPr>
            <w:tcW w:w="171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0.0005</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-5.49</w:t>
            </w:r>
          </w:p>
        </w:tc>
        <w:tc>
          <w:tcPr>
            <w:tcW w:w="162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tfreq</w:t>
            </w:r>
          </w:p>
        </w:tc>
        <w:tc>
          <w:tcPr>
            <w:tcW w:w="1751"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-0.000089</w:t>
            </w:r>
          </w:p>
        </w:tc>
        <w:tc>
          <w:tcPr>
            <w:tcW w:w="171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0.00003</w:t>
            </w:r>
          </w:p>
        </w:tc>
        <w:tc>
          <w:tcPr>
            <w:tcW w:w="162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-3.39</w:t>
            </w:r>
          </w:p>
        </w:tc>
        <w:tc>
          <w:tcPr>
            <w:tcW w:w="162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0.001</w:t>
            </w:r>
          </w:p>
        </w:tc>
      </w:tr>
      <w:tr w:rsidR="00C33192" w:rsidRPr="00D81CB3" w:rsidTr="00C33192">
        <w:trPr>
          <w:trHeight w:val="315"/>
        </w:trPr>
        <w:tc>
          <w:tcPr>
            <w:tcW w:w="8115" w:type="dxa"/>
            <w:gridSpan w:val="5"/>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 xml:space="preserve">-2 log-likelihood ratio  </w:t>
            </w:r>
            <w:r w:rsidR="00285C99" w:rsidRPr="00285C99">
              <w:rPr>
                <w:rFonts w:ascii="Times New Roman" w:eastAsia="Calibri" w:hAnsi="Times New Roman" w:cs="Times New Roman"/>
                <w:sz w:val="24"/>
              </w:rPr>
              <w:t>40</w:t>
            </w:r>
            <w:r w:rsidR="00285C99">
              <w:rPr>
                <w:rFonts w:ascii="Times New Roman" w:eastAsia="Calibri" w:hAnsi="Times New Roman" w:cs="Times New Roman"/>
                <w:sz w:val="24"/>
              </w:rPr>
              <w:t>,</w:t>
            </w:r>
            <w:r w:rsidR="00285C99" w:rsidRPr="00285C99">
              <w:rPr>
                <w:rFonts w:ascii="Times New Roman" w:eastAsia="Calibri" w:hAnsi="Times New Roman" w:cs="Times New Roman"/>
                <w:sz w:val="24"/>
              </w:rPr>
              <w:t>294</w:t>
            </w:r>
          </w:p>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 xml:space="preserve">pseudo-R2  </w:t>
            </w:r>
            <w:r w:rsidR="000E075F">
              <w:rPr>
                <w:rFonts w:ascii="Times New Roman" w:eastAsia="Calibri" w:hAnsi="Times New Roman" w:cs="Times New Roman"/>
                <w:sz w:val="24"/>
              </w:rPr>
              <w:t>0.19</w:t>
            </w:r>
          </w:p>
        </w:tc>
      </w:tr>
    </w:tbl>
    <w:p w:rsidR="007C047B" w:rsidRDefault="007C047B"/>
    <w:p w:rsidR="00C33192" w:rsidRDefault="00C33192"/>
    <w:p w:rsidR="00C33192" w:rsidRDefault="00C33192"/>
    <w:p w:rsidR="00C33192" w:rsidRDefault="00C33192"/>
    <w:p w:rsidR="00C33192" w:rsidRDefault="00C33192"/>
    <w:p w:rsidR="00C33192" w:rsidRDefault="00C33192"/>
    <w:p w:rsidR="00C33192" w:rsidRDefault="00C33192"/>
    <w:p w:rsidR="00C33192" w:rsidRDefault="00C33192"/>
    <w:p w:rsidR="00C33192" w:rsidRDefault="00C33192"/>
    <w:p w:rsidR="00C33192" w:rsidRDefault="00C33192"/>
    <w:p w:rsidR="00C33192" w:rsidRDefault="00C33192"/>
    <w:p w:rsidR="00C33192" w:rsidRDefault="00C33192"/>
    <w:p w:rsidR="00C33192" w:rsidRDefault="00C33192"/>
    <w:p w:rsidR="005930A6" w:rsidRDefault="005930A6">
      <w:r>
        <w:br w:type="page"/>
      </w:r>
    </w:p>
    <w:p w:rsidR="00C33192" w:rsidRPr="00D81CB3" w:rsidRDefault="00C33192" w:rsidP="009F38B4">
      <w:pPr>
        <w:spacing w:after="0" w:line="480" w:lineRule="auto"/>
        <w:rPr>
          <w:rFonts w:ascii="Times New Roman" w:eastAsia="Calibri" w:hAnsi="Times New Roman" w:cs="Times New Roman"/>
          <w:sz w:val="24"/>
        </w:rPr>
      </w:pPr>
      <w:r w:rsidRPr="00D81CB3">
        <w:rPr>
          <w:rFonts w:ascii="Times New Roman" w:eastAsia="Calibri" w:hAnsi="Times New Roman" w:cs="Times New Roman"/>
          <w:sz w:val="24"/>
        </w:rPr>
        <w:lastRenderedPageBreak/>
        <w:t>Table 5.  Negative Binomial Model of Household Vehicle ownership</w:t>
      </w: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2"/>
        <w:gridCol w:w="1763"/>
        <w:gridCol w:w="1837"/>
        <w:gridCol w:w="1890"/>
        <w:gridCol w:w="1853"/>
      </w:tblGrid>
      <w:tr w:rsidR="00C33192" w:rsidRPr="00D81CB3" w:rsidTr="00C33192">
        <w:trPr>
          <w:trHeight w:val="315"/>
        </w:trPr>
        <w:tc>
          <w:tcPr>
            <w:tcW w:w="1512"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p>
        </w:tc>
        <w:tc>
          <w:tcPr>
            <w:tcW w:w="176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coefficient</w:t>
            </w:r>
          </w:p>
        </w:tc>
        <w:tc>
          <w:tcPr>
            <w:tcW w:w="1837"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standard error</w:t>
            </w:r>
          </w:p>
        </w:tc>
        <w:tc>
          <w:tcPr>
            <w:tcW w:w="189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t-ratio</w:t>
            </w:r>
          </w:p>
        </w:tc>
        <w:tc>
          <w:tcPr>
            <w:tcW w:w="185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p-value</w:t>
            </w:r>
          </w:p>
        </w:tc>
      </w:tr>
      <w:tr w:rsidR="00C33192" w:rsidRPr="00D81CB3" w:rsidTr="00C33192">
        <w:trPr>
          <w:trHeight w:val="315"/>
        </w:trPr>
        <w:tc>
          <w:tcPr>
            <w:tcW w:w="1512"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constant</w:t>
            </w:r>
          </w:p>
        </w:tc>
        <w:tc>
          <w:tcPr>
            <w:tcW w:w="176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w:t>
            </w:r>
            <w:r>
              <w:rPr>
                <w:rFonts w:ascii="Times New Roman" w:eastAsia="Calibri" w:hAnsi="Times New Roman" w:cs="Times New Roman"/>
                <w:sz w:val="24"/>
              </w:rPr>
              <w:t>108</w:t>
            </w:r>
          </w:p>
        </w:tc>
        <w:tc>
          <w:tcPr>
            <w:tcW w:w="1837"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0.042</w:t>
            </w:r>
          </w:p>
        </w:tc>
        <w:tc>
          <w:tcPr>
            <w:tcW w:w="189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-2.</w:t>
            </w:r>
            <w:r>
              <w:rPr>
                <w:rFonts w:ascii="Times New Roman" w:eastAsia="Calibri" w:hAnsi="Times New Roman" w:cs="Times New Roman"/>
                <w:sz w:val="24"/>
              </w:rPr>
              <w:t>56</w:t>
            </w:r>
          </w:p>
        </w:tc>
        <w:tc>
          <w:tcPr>
            <w:tcW w:w="185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w:t>
            </w:r>
            <w:r>
              <w:rPr>
                <w:rFonts w:ascii="Times New Roman" w:eastAsia="Calibri" w:hAnsi="Times New Roman" w:cs="Times New Roman"/>
                <w:sz w:val="24"/>
              </w:rPr>
              <w:t>27</w:t>
            </w:r>
          </w:p>
        </w:tc>
      </w:tr>
      <w:tr w:rsidR="00C33192" w:rsidRPr="00D81CB3" w:rsidTr="00C33192">
        <w:trPr>
          <w:trHeight w:val="315"/>
        </w:trPr>
        <w:tc>
          <w:tcPr>
            <w:tcW w:w="1512"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hhsize</w:t>
            </w:r>
          </w:p>
        </w:tc>
        <w:tc>
          <w:tcPr>
            <w:tcW w:w="176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0.06</w:t>
            </w:r>
            <w:r>
              <w:rPr>
                <w:rFonts w:ascii="Times New Roman" w:eastAsia="Calibri" w:hAnsi="Times New Roman" w:cs="Times New Roman"/>
                <w:sz w:val="24"/>
              </w:rPr>
              <w:t>0</w:t>
            </w:r>
          </w:p>
        </w:tc>
        <w:tc>
          <w:tcPr>
            <w:tcW w:w="1837"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8</w:t>
            </w:r>
          </w:p>
        </w:tc>
        <w:tc>
          <w:tcPr>
            <w:tcW w:w="189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7.86</w:t>
            </w:r>
          </w:p>
        </w:tc>
        <w:tc>
          <w:tcPr>
            <w:tcW w:w="185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512"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hhworkers</w:t>
            </w:r>
          </w:p>
        </w:tc>
        <w:tc>
          <w:tcPr>
            <w:tcW w:w="176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0.1</w:t>
            </w:r>
            <w:r>
              <w:rPr>
                <w:rFonts w:ascii="Times New Roman" w:eastAsia="Calibri" w:hAnsi="Times New Roman" w:cs="Times New Roman"/>
                <w:sz w:val="24"/>
              </w:rPr>
              <w:t>42</w:t>
            </w:r>
          </w:p>
        </w:tc>
        <w:tc>
          <w:tcPr>
            <w:tcW w:w="1837"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0.01</w:t>
            </w:r>
            <w:r>
              <w:rPr>
                <w:rFonts w:ascii="Times New Roman" w:eastAsia="Calibri" w:hAnsi="Times New Roman" w:cs="Times New Roman"/>
                <w:sz w:val="24"/>
              </w:rPr>
              <w:t>1</w:t>
            </w:r>
          </w:p>
        </w:tc>
        <w:tc>
          <w:tcPr>
            <w:tcW w:w="189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1</w:t>
            </w:r>
            <w:r>
              <w:rPr>
                <w:rFonts w:ascii="Times New Roman" w:eastAsia="Calibri" w:hAnsi="Times New Roman" w:cs="Times New Roman"/>
                <w:sz w:val="24"/>
              </w:rPr>
              <w:t>3.21</w:t>
            </w:r>
          </w:p>
        </w:tc>
        <w:tc>
          <w:tcPr>
            <w:tcW w:w="185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512"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hhincome</w:t>
            </w:r>
          </w:p>
        </w:tc>
        <w:tc>
          <w:tcPr>
            <w:tcW w:w="176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0.008</w:t>
            </w:r>
            <w:r>
              <w:rPr>
                <w:rFonts w:ascii="Times New Roman" w:eastAsia="Calibri" w:hAnsi="Times New Roman" w:cs="Times New Roman"/>
                <w:sz w:val="24"/>
              </w:rPr>
              <w:t>6</w:t>
            </w:r>
          </w:p>
        </w:tc>
        <w:tc>
          <w:tcPr>
            <w:tcW w:w="1837"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0.000</w:t>
            </w:r>
            <w:r>
              <w:rPr>
                <w:rFonts w:ascii="Times New Roman" w:eastAsia="Calibri" w:hAnsi="Times New Roman" w:cs="Times New Roman"/>
                <w:sz w:val="24"/>
              </w:rPr>
              <w:t>6</w:t>
            </w:r>
          </w:p>
        </w:tc>
        <w:tc>
          <w:tcPr>
            <w:tcW w:w="189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14.71</w:t>
            </w:r>
          </w:p>
        </w:tc>
        <w:tc>
          <w:tcPr>
            <w:tcW w:w="185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512" w:type="dxa"/>
            <w:tcBorders>
              <w:bottom w:val="single" w:sz="4" w:space="0" w:color="auto"/>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sf</w:t>
            </w:r>
          </w:p>
        </w:tc>
        <w:tc>
          <w:tcPr>
            <w:tcW w:w="1763" w:type="dxa"/>
            <w:tcBorders>
              <w:bottom w:val="single" w:sz="4" w:space="0" w:color="auto"/>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0.301</w:t>
            </w:r>
          </w:p>
        </w:tc>
        <w:tc>
          <w:tcPr>
            <w:tcW w:w="1837" w:type="dxa"/>
            <w:tcBorders>
              <w:bottom w:val="single" w:sz="4" w:space="0" w:color="auto"/>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0.02</w:t>
            </w:r>
            <w:r>
              <w:rPr>
                <w:rFonts w:ascii="Times New Roman" w:eastAsia="Calibri" w:hAnsi="Times New Roman" w:cs="Times New Roman"/>
                <w:sz w:val="24"/>
              </w:rPr>
              <w:t>1</w:t>
            </w:r>
          </w:p>
        </w:tc>
        <w:tc>
          <w:tcPr>
            <w:tcW w:w="1890" w:type="dxa"/>
            <w:tcBorders>
              <w:bottom w:val="single" w:sz="4" w:space="0" w:color="auto"/>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14.11</w:t>
            </w:r>
          </w:p>
        </w:tc>
        <w:tc>
          <w:tcPr>
            <w:tcW w:w="1853" w:type="dxa"/>
            <w:tcBorders>
              <w:bottom w:val="single" w:sz="4" w:space="0" w:color="auto"/>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512" w:type="dxa"/>
            <w:tcBorders>
              <w:bottom w:val="nil"/>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emp10a</w:t>
            </w:r>
          </w:p>
        </w:tc>
        <w:tc>
          <w:tcPr>
            <w:tcW w:w="1763" w:type="dxa"/>
            <w:tcBorders>
              <w:bottom w:val="nil"/>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-0.0019</w:t>
            </w:r>
          </w:p>
        </w:tc>
        <w:tc>
          <w:tcPr>
            <w:tcW w:w="1837" w:type="dxa"/>
            <w:tcBorders>
              <w:bottom w:val="nil"/>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0</w:t>
            </w:r>
            <w:r w:rsidRPr="00D81CB3">
              <w:rPr>
                <w:rFonts w:ascii="Times New Roman" w:eastAsia="Calibri" w:hAnsi="Times New Roman" w:cs="Times New Roman"/>
                <w:sz w:val="24"/>
              </w:rPr>
              <w:t>9</w:t>
            </w:r>
          </w:p>
        </w:tc>
        <w:tc>
          <w:tcPr>
            <w:tcW w:w="1890" w:type="dxa"/>
            <w:tcBorders>
              <w:bottom w:val="nil"/>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2.094</w:t>
            </w:r>
          </w:p>
        </w:tc>
        <w:tc>
          <w:tcPr>
            <w:tcW w:w="1853" w:type="dxa"/>
            <w:tcBorders>
              <w:bottom w:val="nil"/>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w:t>
            </w:r>
            <w:r>
              <w:rPr>
                <w:rFonts w:ascii="Times New Roman" w:eastAsia="Calibri" w:hAnsi="Times New Roman" w:cs="Times New Roman"/>
                <w:sz w:val="24"/>
              </w:rPr>
              <w:t>.03</w:t>
            </w:r>
            <w:r w:rsidRPr="00D81CB3">
              <w:rPr>
                <w:rFonts w:ascii="Times New Roman" w:eastAsia="Calibri" w:hAnsi="Times New Roman" w:cs="Times New Roman"/>
                <w:sz w:val="24"/>
              </w:rPr>
              <w:t>6</w:t>
            </w:r>
          </w:p>
        </w:tc>
      </w:tr>
      <w:tr w:rsidR="00C33192" w:rsidRPr="00D81CB3" w:rsidTr="00C33192">
        <w:trPr>
          <w:trHeight w:val="315"/>
        </w:trPr>
        <w:tc>
          <w:tcPr>
            <w:tcW w:w="1512"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actdenqmi</w:t>
            </w:r>
          </w:p>
        </w:tc>
        <w:tc>
          <w:tcPr>
            <w:tcW w:w="176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57</w:t>
            </w:r>
          </w:p>
        </w:tc>
        <w:tc>
          <w:tcPr>
            <w:tcW w:w="1837"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10</w:t>
            </w:r>
          </w:p>
        </w:tc>
        <w:tc>
          <w:tcPr>
            <w:tcW w:w="189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-5.</w:t>
            </w:r>
            <w:r>
              <w:rPr>
                <w:rFonts w:ascii="Times New Roman" w:eastAsia="Calibri" w:hAnsi="Times New Roman" w:cs="Times New Roman"/>
                <w:sz w:val="24"/>
              </w:rPr>
              <w:t>90</w:t>
            </w:r>
          </w:p>
        </w:tc>
        <w:tc>
          <w:tcPr>
            <w:tcW w:w="185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512"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entropyqmi</w:t>
            </w:r>
          </w:p>
        </w:tc>
        <w:tc>
          <w:tcPr>
            <w:tcW w:w="176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-0.1</w:t>
            </w:r>
            <w:r>
              <w:rPr>
                <w:rFonts w:ascii="Times New Roman" w:eastAsia="Calibri" w:hAnsi="Times New Roman" w:cs="Times New Roman"/>
                <w:sz w:val="24"/>
              </w:rPr>
              <w:t>42</w:t>
            </w:r>
          </w:p>
        </w:tc>
        <w:tc>
          <w:tcPr>
            <w:tcW w:w="1837"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w:t>
            </w:r>
            <w:r>
              <w:rPr>
                <w:rFonts w:ascii="Times New Roman" w:eastAsia="Calibri" w:hAnsi="Times New Roman" w:cs="Times New Roman"/>
                <w:sz w:val="24"/>
              </w:rPr>
              <w:t>21</w:t>
            </w:r>
          </w:p>
        </w:tc>
        <w:tc>
          <w:tcPr>
            <w:tcW w:w="189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6.81</w:t>
            </w:r>
          </w:p>
        </w:tc>
        <w:tc>
          <w:tcPr>
            <w:tcW w:w="185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512" w:type="dxa"/>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intdenhmi</w:t>
            </w:r>
          </w:p>
        </w:tc>
        <w:tc>
          <w:tcPr>
            <w:tcW w:w="1763" w:type="dxa"/>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-0.0008</w:t>
            </w:r>
            <w:r>
              <w:rPr>
                <w:rFonts w:ascii="Times New Roman" w:eastAsia="Calibri" w:hAnsi="Times New Roman" w:cs="Times New Roman"/>
                <w:sz w:val="24"/>
              </w:rPr>
              <w:t>9</w:t>
            </w:r>
          </w:p>
        </w:tc>
        <w:tc>
          <w:tcPr>
            <w:tcW w:w="1837" w:type="dxa"/>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0.000</w:t>
            </w:r>
            <w:r>
              <w:rPr>
                <w:rFonts w:ascii="Times New Roman" w:eastAsia="Calibri" w:hAnsi="Times New Roman" w:cs="Times New Roman"/>
                <w:sz w:val="24"/>
              </w:rPr>
              <w:t>1</w:t>
            </w:r>
          </w:p>
        </w:tc>
        <w:tc>
          <w:tcPr>
            <w:tcW w:w="1890" w:type="dxa"/>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7.86</w:t>
            </w:r>
          </w:p>
        </w:tc>
        <w:tc>
          <w:tcPr>
            <w:tcW w:w="1853" w:type="dxa"/>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512" w:type="dxa"/>
            <w:tcBorders>
              <w:bottom w:val="single" w:sz="4" w:space="0" w:color="auto"/>
            </w:tcBorders>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int4whmi</w:t>
            </w:r>
          </w:p>
        </w:tc>
        <w:tc>
          <w:tcPr>
            <w:tcW w:w="1763" w:type="dxa"/>
            <w:tcBorders>
              <w:bottom w:val="single" w:sz="4" w:space="0" w:color="auto"/>
            </w:tcBorders>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-0.0013</w:t>
            </w:r>
          </w:p>
        </w:tc>
        <w:tc>
          <w:tcPr>
            <w:tcW w:w="1837" w:type="dxa"/>
            <w:tcBorders>
              <w:bottom w:val="single" w:sz="4" w:space="0" w:color="auto"/>
            </w:tcBorders>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0.0003</w:t>
            </w:r>
          </w:p>
        </w:tc>
        <w:tc>
          <w:tcPr>
            <w:tcW w:w="1890" w:type="dxa"/>
            <w:tcBorders>
              <w:bottom w:val="single" w:sz="4" w:space="0" w:color="auto"/>
            </w:tcBorders>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-4.</w:t>
            </w:r>
            <w:r>
              <w:rPr>
                <w:rFonts w:ascii="Times New Roman" w:eastAsia="Calibri" w:hAnsi="Times New Roman" w:cs="Times New Roman"/>
                <w:sz w:val="24"/>
              </w:rPr>
              <w:t>90</w:t>
            </w:r>
          </w:p>
        </w:tc>
        <w:tc>
          <w:tcPr>
            <w:tcW w:w="1853" w:type="dxa"/>
            <w:tcBorders>
              <w:bottom w:val="single" w:sz="4" w:space="0" w:color="auto"/>
            </w:tcBorders>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512" w:type="dxa"/>
            <w:tcBorders>
              <w:bottom w:val="nil"/>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tfreq</w:t>
            </w:r>
          </w:p>
        </w:tc>
        <w:tc>
          <w:tcPr>
            <w:tcW w:w="1763" w:type="dxa"/>
            <w:tcBorders>
              <w:bottom w:val="nil"/>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029</w:t>
            </w:r>
          </w:p>
        </w:tc>
        <w:tc>
          <w:tcPr>
            <w:tcW w:w="1837" w:type="dxa"/>
            <w:tcBorders>
              <w:bottom w:val="nil"/>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0.000</w:t>
            </w:r>
            <w:r>
              <w:rPr>
                <w:rFonts w:ascii="Times New Roman" w:eastAsia="Calibri" w:hAnsi="Times New Roman" w:cs="Times New Roman"/>
                <w:sz w:val="24"/>
              </w:rPr>
              <w:t>08</w:t>
            </w:r>
          </w:p>
        </w:tc>
        <w:tc>
          <w:tcPr>
            <w:tcW w:w="1890" w:type="dxa"/>
            <w:tcBorders>
              <w:bottom w:val="nil"/>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3.83</w:t>
            </w:r>
          </w:p>
        </w:tc>
        <w:tc>
          <w:tcPr>
            <w:tcW w:w="1853" w:type="dxa"/>
            <w:tcBorders>
              <w:bottom w:val="nil"/>
            </w:tcBorders>
            <w:shd w:val="clear" w:color="auto" w:fill="auto"/>
            <w:noWrap/>
            <w:tcMar>
              <w:top w:w="15" w:type="dxa"/>
              <w:left w:w="72" w:type="dxa"/>
              <w:bottom w:w="0" w:type="dxa"/>
              <w:right w:w="72" w:type="dxa"/>
            </w:tcMar>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8855" w:type="dxa"/>
            <w:gridSpan w:val="5"/>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 xml:space="preserve">-2 log-likelihood ratio  </w:t>
            </w:r>
            <w:r w:rsidR="00285C99" w:rsidRPr="00285C99">
              <w:rPr>
                <w:rFonts w:ascii="Times New Roman" w:eastAsia="Calibri" w:hAnsi="Times New Roman" w:cs="Times New Roman"/>
                <w:sz w:val="24"/>
              </w:rPr>
              <w:t>32</w:t>
            </w:r>
            <w:r w:rsidR="00285C99">
              <w:rPr>
                <w:rFonts w:ascii="Times New Roman" w:eastAsia="Calibri" w:hAnsi="Times New Roman" w:cs="Times New Roman"/>
                <w:sz w:val="24"/>
              </w:rPr>
              <w:t>,</w:t>
            </w:r>
            <w:r w:rsidR="00285C99" w:rsidRPr="00285C99">
              <w:rPr>
                <w:rFonts w:ascii="Times New Roman" w:eastAsia="Calibri" w:hAnsi="Times New Roman" w:cs="Times New Roman"/>
                <w:sz w:val="24"/>
              </w:rPr>
              <w:t>769</w:t>
            </w:r>
          </w:p>
          <w:p w:rsidR="00C33192" w:rsidRPr="00D81CB3" w:rsidRDefault="000E075F" w:rsidP="00C33192">
            <w:pPr>
              <w:spacing w:after="0" w:line="240" w:lineRule="auto"/>
              <w:rPr>
                <w:rFonts w:ascii="Times New Roman" w:eastAsia="Calibri" w:hAnsi="Times New Roman" w:cs="Times New Roman"/>
                <w:sz w:val="24"/>
              </w:rPr>
            </w:pPr>
            <w:r>
              <w:rPr>
                <w:rFonts w:ascii="Times New Roman" w:eastAsia="Calibri" w:hAnsi="Times New Roman" w:cs="Times New Roman"/>
                <w:sz w:val="24"/>
              </w:rPr>
              <w:t>pseudo-R2  0.30</w:t>
            </w:r>
          </w:p>
        </w:tc>
      </w:tr>
    </w:tbl>
    <w:p w:rsidR="00C33192" w:rsidRDefault="00C33192"/>
    <w:p w:rsidR="00C33192" w:rsidRDefault="00C33192"/>
    <w:p w:rsidR="00C33192" w:rsidRDefault="00C33192"/>
    <w:p w:rsidR="00C33192" w:rsidRDefault="00C33192"/>
    <w:p w:rsidR="00C33192" w:rsidRDefault="00C33192"/>
    <w:p w:rsidR="009F38B4" w:rsidRDefault="009F38B4"/>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5930A6" w:rsidRDefault="005930A6">
      <w:pPr>
        <w:rPr>
          <w:rFonts w:ascii="Times New Roman" w:eastAsia="Calibri" w:hAnsi="Times New Roman" w:cs="Times New Roman"/>
          <w:sz w:val="24"/>
        </w:rPr>
      </w:pPr>
      <w:r>
        <w:rPr>
          <w:rFonts w:ascii="Times New Roman" w:eastAsia="Calibri" w:hAnsi="Times New Roman" w:cs="Times New Roman"/>
          <w:sz w:val="24"/>
        </w:rPr>
        <w:br w:type="page"/>
      </w:r>
    </w:p>
    <w:p w:rsidR="00C33192" w:rsidRPr="00D81CB3" w:rsidRDefault="00C33192" w:rsidP="009F38B4">
      <w:pPr>
        <w:spacing w:after="0" w:line="480" w:lineRule="auto"/>
        <w:rPr>
          <w:rFonts w:ascii="Times New Roman" w:eastAsia="Calibri" w:hAnsi="Times New Roman" w:cs="Times New Roman"/>
          <w:sz w:val="24"/>
        </w:rPr>
      </w:pPr>
      <w:r w:rsidRPr="00D81CB3">
        <w:rPr>
          <w:rFonts w:ascii="Times New Roman" w:eastAsia="Calibri" w:hAnsi="Times New Roman" w:cs="Times New Roman"/>
          <w:sz w:val="24"/>
        </w:rPr>
        <w:lastRenderedPageBreak/>
        <w:t>Table 6.  Logistic Regression Model of Log Odds of Any Transit Trips</w:t>
      </w: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751"/>
        <w:gridCol w:w="1890"/>
        <w:gridCol w:w="1890"/>
        <w:gridCol w:w="1800"/>
      </w:tblGrid>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p>
        </w:tc>
        <w:tc>
          <w:tcPr>
            <w:tcW w:w="1751"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coefficient</w:t>
            </w:r>
          </w:p>
        </w:tc>
        <w:tc>
          <w:tcPr>
            <w:tcW w:w="1890"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standard error</w:t>
            </w:r>
          </w:p>
        </w:tc>
        <w:tc>
          <w:tcPr>
            <w:tcW w:w="1890"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t-ratio</w:t>
            </w:r>
          </w:p>
        </w:tc>
        <w:tc>
          <w:tcPr>
            <w:tcW w:w="1800"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p-value</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constant</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2.82</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0.24</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-12.10</w:t>
            </w:r>
          </w:p>
        </w:tc>
        <w:tc>
          <w:tcPr>
            <w:tcW w:w="180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hhsize</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0.1</w:t>
            </w:r>
            <w:r>
              <w:rPr>
                <w:rFonts w:ascii="Times New Roman" w:eastAsia="Calibri" w:hAnsi="Times New Roman" w:cs="Times New Roman"/>
                <w:sz w:val="24"/>
              </w:rPr>
              <w:t>5</w:t>
            </w:r>
            <w:r w:rsidRPr="00D81CB3">
              <w:rPr>
                <w:rFonts w:ascii="Times New Roman" w:eastAsia="Calibri" w:hAnsi="Times New Roman" w:cs="Times New Roman"/>
                <w:sz w:val="24"/>
              </w:rPr>
              <w:t>7</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0.025</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6.27</w:t>
            </w:r>
          </w:p>
        </w:tc>
        <w:tc>
          <w:tcPr>
            <w:tcW w:w="180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hhworkers</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w:t>
            </w:r>
            <w:r>
              <w:rPr>
                <w:rFonts w:ascii="Times New Roman" w:eastAsia="Calibri" w:hAnsi="Times New Roman" w:cs="Times New Roman"/>
                <w:sz w:val="24"/>
              </w:rPr>
              <w:t>266</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w:t>
            </w:r>
            <w:r>
              <w:rPr>
                <w:rFonts w:ascii="Times New Roman" w:eastAsia="Calibri" w:hAnsi="Times New Roman" w:cs="Times New Roman"/>
                <w:sz w:val="24"/>
              </w:rPr>
              <w:t>51</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5.26</w:t>
            </w:r>
          </w:p>
        </w:tc>
        <w:tc>
          <w:tcPr>
            <w:tcW w:w="180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hhincome</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w:t>
            </w:r>
            <w:r>
              <w:rPr>
                <w:rFonts w:ascii="Times New Roman" w:eastAsia="Calibri" w:hAnsi="Times New Roman" w:cs="Times New Roman"/>
                <w:sz w:val="24"/>
              </w:rPr>
              <w:t>21</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32</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6.43</w:t>
            </w:r>
          </w:p>
        </w:tc>
        <w:tc>
          <w:tcPr>
            <w:tcW w:w="180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sf</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w:t>
            </w:r>
            <w:r>
              <w:rPr>
                <w:rFonts w:ascii="Times New Roman" w:eastAsia="Calibri" w:hAnsi="Times New Roman" w:cs="Times New Roman"/>
                <w:sz w:val="24"/>
              </w:rPr>
              <w:t>791</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w:t>
            </w:r>
            <w:r>
              <w:rPr>
                <w:rFonts w:ascii="Times New Roman" w:eastAsia="Calibri" w:hAnsi="Times New Roman" w:cs="Times New Roman"/>
                <w:sz w:val="24"/>
              </w:rPr>
              <w:t>83</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9.47</w:t>
            </w:r>
          </w:p>
        </w:tc>
        <w:tc>
          <w:tcPr>
            <w:tcW w:w="180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entropyqmi</w:t>
            </w:r>
          </w:p>
        </w:tc>
        <w:tc>
          <w:tcPr>
            <w:tcW w:w="1751"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w:t>
            </w:r>
            <w:r>
              <w:rPr>
                <w:rFonts w:ascii="Times New Roman" w:eastAsia="Calibri" w:hAnsi="Times New Roman" w:cs="Times New Roman"/>
                <w:sz w:val="24"/>
              </w:rPr>
              <w:t>480</w:t>
            </w:r>
          </w:p>
        </w:tc>
        <w:tc>
          <w:tcPr>
            <w:tcW w:w="189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w:t>
            </w:r>
            <w:r>
              <w:rPr>
                <w:rFonts w:ascii="Times New Roman" w:eastAsia="Calibri" w:hAnsi="Times New Roman" w:cs="Times New Roman"/>
                <w:sz w:val="24"/>
              </w:rPr>
              <w:t>098</w:t>
            </w:r>
          </w:p>
        </w:tc>
        <w:tc>
          <w:tcPr>
            <w:tcW w:w="189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4.89</w:t>
            </w:r>
          </w:p>
        </w:tc>
        <w:tc>
          <w:tcPr>
            <w:tcW w:w="180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intdenhmi</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29</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0.000</w:t>
            </w:r>
            <w:r>
              <w:rPr>
                <w:rFonts w:ascii="Times New Roman" w:eastAsia="Calibri" w:hAnsi="Times New Roman" w:cs="Times New Roman"/>
                <w:sz w:val="24"/>
              </w:rPr>
              <w:t>3</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9.34</w:t>
            </w:r>
          </w:p>
        </w:tc>
        <w:tc>
          <w:tcPr>
            <w:tcW w:w="180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int4whmi</w:t>
            </w:r>
          </w:p>
        </w:tc>
        <w:tc>
          <w:tcPr>
            <w:tcW w:w="1751"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0.013</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0.002</w:t>
            </w:r>
            <w:r>
              <w:rPr>
                <w:rFonts w:ascii="Times New Roman" w:eastAsia="Calibri" w:hAnsi="Times New Roman" w:cs="Times New Roman"/>
                <w:sz w:val="24"/>
              </w:rPr>
              <w:t>7</w:t>
            </w:r>
          </w:p>
        </w:tc>
        <w:tc>
          <w:tcPr>
            <w:tcW w:w="189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4.77</w:t>
            </w:r>
          </w:p>
        </w:tc>
        <w:tc>
          <w:tcPr>
            <w:tcW w:w="1800" w:type="dxa"/>
            <w:shd w:val="clear" w:color="auto" w:fill="auto"/>
            <w:noWrap/>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414" w:type="dxa"/>
            <w:shd w:val="clear" w:color="auto" w:fill="auto"/>
            <w:noWrap/>
            <w:vAlign w:val="bottom"/>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tfreq</w:t>
            </w:r>
          </w:p>
        </w:tc>
        <w:tc>
          <w:tcPr>
            <w:tcW w:w="1751"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w:t>
            </w:r>
            <w:r>
              <w:rPr>
                <w:rFonts w:ascii="Times New Roman" w:eastAsia="Calibri" w:hAnsi="Times New Roman" w:cs="Times New Roman"/>
                <w:sz w:val="24"/>
              </w:rPr>
              <w:t>093</w:t>
            </w:r>
          </w:p>
        </w:tc>
        <w:tc>
          <w:tcPr>
            <w:tcW w:w="189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0.0002</w:t>
            </w:r>
          </w:p>
        </w:tc>
        <w:tc>
          <w:tcPr>
            <w:tcW w:w="189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5.93</w:t>
            </w:r>
          </w:p>
        </w:tc>
        <w:tc>
          <w:tcPr>
            <w:tcW w:w="1800" w:type="dxa"/>
            <w:shd w:val="clear" w:color="auto" w:fill="auto"/>
            <w:noWrap/>
            <w:vAlign w:val="bottom"/>
          </w:tcPr>
          <w:p w:rsidR="00C33192" w:rsidRPr="00D81CB3" w:rsidRDefault="00C33192" w:rsidP="00C33192">
            <w:pPr>
              <w:spacing w:after="0" w:line="240" w:lineRule="auto"/>
              <w:jc w:val="right"/>
              <w:rPr>
                <w:rFonts w:ascii="Times New Roman" w:eastAsia="Calibri" w:hAnsi="Times New Roman" w:cs="Times New Roman"/>
                <w:sz w:val="24"/>
              </w:rPr>
            </w:pPr>
            <w:r w:rsidRPr="00C606E3">
              <w:rPr>
                <w:rFonts w:ascii="Times New Roman" w:eastAsia="Calibri" w:hAnsi="Times New Roman" w:cs="Times New Roman"/>
                <w:sz w:val="24"/>
              </w:rPr>
              <w:t>&lt;0.001</w:t>
            </w:r>
          </w:p>
        </w:tc>
      </w:tr>
      <w:tr w:rsidR="00C33192" w:rsidRPr="00D81CB3" w:rsidTr="00C33192">
        <w:trPr>
          <w:trHeight w:val="315"/>
        </w:trPr>
        <w:tc>
          <w:tcPr>
            <w:tcW w:w="8745" w:type="dxa"/>
            <w:gridSpan w:val="5"/>
            <w:shd w:val="clear" w:color="auto" w:fill="auto"/>
            <w:noWrap/>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 xml:space="preserve">-2 log-likelihood ratio </w:t>
            </w:r>
            <w:r w:rsidR="00285C99" w:rsidRPr="00285C99">
              <w:rPr>
                <w:rFonts w:ascii="Times New Roman" w:eastAsia="Calibri" w:hAnsi="Times New Roman" w:cs="Times New Roman"/>
                <w:sz w:val="24"/>
              </w:rPr>
              <w:t>43</w:t>
            </w:r>
            <w:r w:rsidR="00285C99">
              <w:rPr>
                <w:rFonts w:ascii="Times New Roman" w:eastAsia="Calibri" w:hAnsi="Times New Roman" w:cs="Times New Roman"/>
                <w:sz w:val="24"/>
              </w:rPr>
              <w:t>,</w:t>
            </w:r>
            <w:r w:rsidR="00285C99" w:rsidRPr="00285C99">
              <w:rPr>
                <w:rFonts w:ascii="Times New Roman" w:eastAsia="Calibri" w:hAnsi="Times New Roman" w:cs="Times New Roman"/>
                <w:sz w:val="24"/>
              </w:rPr>
              <w:t>942</w:t>
            </w:r>
          </w:p>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 xml:space="preserve">pseudo-R2  </w:t>
            </w:r>
            <w:r w:rsidR="000E075F">
              <w:rPr>
                <w:rFonts w:ascii="Times New Roman" w:eastAsia="Calibri" w:hAnsi="Times New Roman" w:cs="Times New Roman"/>
                <w:sz w:val="24"/>
              </w:rPr>
              <w:t>0.51</w:t>
            </w:r>
          </w:p>
        </w:tc>
      </w:tr>
    </w:tbl>
    <w:p w:rsidR="00C33192" w:rsidRDefault="00C33192"/>
    <w:p w:rsidR="00C33192" w:rsidRDefault="00C33192"/>
    <w:p w:rsidR="00C33192" w:rsidRDefault="00C33192"/>
    <w:p w:rsidR="009F38B4" w:rsidRDefault="009F38B4" w:rsidP="00C33192">
      <w:pPr>
        <w:spacing w:line="240" w:lineRule="auto"/>
        <w:rPr>
          <w:rFonts w:ascii="Times New Roman" w:eastAsia="Calibri" w:hAnsi="Times New Roman" w:cs="Times New Roman"/>
          <w:sz w:val="24"/>
        </w:rPr>
      </w:pPr>
    </w:p>
    <w:p w:rsidR="009F38B4" w:rsidRDefault="009F38B4" w:rsidP="00C33192">
      <w:pPr>
        <w:spacing w:line="240" w:lineRule="auto"/>
        <w:rPr>
          <w:rFonts w:ascii="Times New Roman" w:eastAsia="Calibri" w:hAnsi="Times New Roman" w:cs="Times New Roman"/>
          <w:sz w:val="24"/>
        </w:rPr>
      </w:pPr>
    </w:p>
    <w:p w:rsidR="009F38B4" w:rsidRDefault="009F38B4" w:rsidP="00C33192">
      <w:pPr>
        <w:spacing w:line="240" w:lineRule="auto"/>
        <w:rPr>
          <w:rFonts w:ascii="Times New Roman" w:eastAsia="Calibri" w:hAnsi="Times New Roman" w:cs="Times New Roman"/>
          <w:sz w:val="24"/>
        </w:rPr>
      </w:pPr>
    </w:p>
    <w:p w:rsidR="009F38B4" w:rsidRDefault="009F38B4" w:rsidP="00C33192">
      <w:pPr>
        <w:spacing w:line="240" w:lineRule="auto"/>
        <w:rPr>
          <w:rFonts w:ascii="Times New Roman" w:eastAsia="Calibri" w:hAnsi="Times New Roman" w:cs="Times New Roman"/>
          <w:sz w:val="24"/>
        </w:rPr>
      </w:pPr>
    </w:p>
    <w:p w:rsidR="009F38B4" w:rsidRDefault="009F38B4" w:rsidP="00C33192">
      <w:pPr>
        <w:spacing w:line="240" w:lineRule="auto"/>
        <w:rPr>
          <w:rFonts w:ascii="Times New Roman" w:eastAsia="Calibri" w:hAnsi="Times New Roman" w:cs="Times New Roman"/>
          <w:sz w:val="24"/>
        </w:rPr>
      </w:pPr>
    </w:p>
    <w:p w:rsidR="009F38B4" w:rsidRDefault="009F38B4" w:rsidP="00C33192">
      <w:pPr>
        <w:spacing w:line="240" w:lineRule="auto"/>
        <w:rPr>
          <w:rFonts w:ascii="Times New Roman" w:eastAsia="Calibri" w:hAnsi="Times New Roman" w:cs="Times New Roman"/>
          <w:sz w:val="24"/>
        </w:rPr>
      </w:pPr>
    </w:p>
    <w:p w:rsidR="009F38B4" w:rsidRDefault="009F38B4" w:rsidP="00C33192">
      <w:pPr>
        <w:spacing w:line="240" w:lineRule="auto"/>
        <w:rPr>
          <w:rFonts w:ascii="Times New Roman" w:eastAsia="Calibri" w:hAnsi="Times New Roman" w:cs="Times New Roman"/>
          <w:sz w:val="24"/>
        </w:rPr>
      </w:pPr>
    </w:p>
    <w:p w:rsidR="009F38B4" w:rsidRDefault="009F38B4" w:rsidP="00C33192">
      <w:pPr>
        <w:spacing w:line="240" w:lineRule="auto"/>
        <w:rPr>
          <w:rFonts w:ascii="Times New Roman" w:eastAsia="Calibri" w:hAnsi="Times New Roman" w:cs="Times New Roman"/>
          <w:sz w:val="24"/>
        </w:rPr>
      </w:pPr>
    </w:p>
    <w:p w:rsidR="009F38B4" w:rsidRDefault="009F38B4" w:rsidP="00C33192">
      <w:pPr>
        <w:spacing w:line="240" w:lineRule="auto"/>
        <w:rPr>
          <w:rFonts w:ascii="Times New Roman" w:eastAsia="Calibri" w:hAnsi="Times New Roman" w:cs="Times New Roman"/>
          <w:sz w:val="24"/>
        </w:rPr>
      </w:pPr>
    </w:p>
    <w:p w:rsidR="009F38B4" w:rsidRDefault="009F38B4" w:rsidP="00C33192">
      <w:pPr>
        <w:spacing w:line="240" w:lineRule="auto"/>
        <w:rPr>
          <w:rFonts w:ascii="Times New Roman" w:eastAsia="Calibri" w:hAnsi="Times New Roman" w:cs="Times New Roman"/>
          <w:sz w:val="24"/>
        </w:rPr>
      </w:pPr>
    </w:p>
    <w:p w:rsidR="009F38B4" w:rsidRDefault="009F38B4" w:rsidP="00C33192">
      <w:pPr>
        <w:spacing w:line="240" w:lineRule="auto"/>
        <w:rPr>
          <w:rFonts w:ascii="Times New Roman" w:eastAsia="Calibri" w:hAnsi="Times New Roman" w:cs="Times New Roman"/>
          <w:sz w:val="24"/>
        </w:rPr>
      </w:pPr>
    </w:p>
    <w:p w:rsidR="005930A6" w:rsidRDefault="005930A6">
      <w:pPr>
        <w:rPr>
          <w:rFonts w:ascii="Times New Roman" w:eastAsia="Calibri" w:hAnsi="Times New Roman" w:cs="Times New Roman"/>
          <w:sz w:val="24"/>
        </w:rPr>
      </w:pPr>
      <w:r>
        <w:rPr>
          <w:rFonts w:ascii="Times New Roman" w:eastAsia="Calibri" w:hAnsi="Times New Roman" w:cs="Times New Roman"/>
          <w:sz w:val="24"/>
        </w:rPr>
        <w:br w:type="page"/>
      </w:r>
    </w:p>
    <w:p w:rsidR="00C33192" w:rsidRPr="00D81CB3" w:rsidRDefault="00C33192" w:rsidP="00C33192">
      <w:pPr>
        <w:spacing w:line="240" w:lineRule="auto"/>
        <w:rPr>
          <w:rFonts w:ascii="Times New Roman" w:eastAsia="Calibri" w:hAnsi="Times New Roman" w:cs="Times New Roman"/>
          <w:sz w:val="24"/>
        </w:rPr>
      </w:pPr>
      <w:r w:rsidRPr="00D81CB3">
        <w:rPr>
          <w:rFonts w:ascii="Times New Roman" w:eastAsia="Calibri" w:hAnsi="Times New Roman" w:cs="Times New Roman"/>
          <w:sz w:val="24"/>
        </w:rPr>
        <w:lastRenderedPageBreak/>
        <w:t>Table 7. Negative Binomial Regression Model of Household Transit Trips</w:t>
      </w:r>
    </w:p>
    <w:tbl>
      <w:tblPr>
        <w:tblW w:w="6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1"/>
        <w:gridCol w:w="1170"/>
        <w:gridCol w:w="1533"/>
        <w:gridCol w:w="1285"/>
        <w:gridCol w:w="1149"/>
      </w:tblGrid>
      <w:tr w:rsidR="00C33192" w:rsidRPr="00D81CB3" w:rsidTr="00C33192">
        <w:trPr>
          <w:trHeight w:val="299"/>
        </w:trPr>
        <w:tc>
          <w:tcPr>
            <w:tcW w:w="1251"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p>
        </w:tc>
        <w:tc>
          <w:tcPr>
            <w:tcW w:w="117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coefficient</w:t>
            </w:r>
          </w:p>
        </w:tc>
        <w:tc>
          <w:tcPr>
            <w:tcW w:w="153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standard error</w:t>
            </w:r>
          </w:p>
        </w:tc>
        <w:tc>
          <w:tcPr>
            <w:tcW w:w="1285"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t-ratio</w:t>
            </w:r>
          </w:p>
        </w:tc>
        <w:tc>
          <w:tcPr>
            <w:tcW w:w="1149"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p-value</w:t>
            </w:r>
          </w:p>
        </w:tc>
      </w:tr>
      <w:tr w:rsidR="00C33192" w:rsidRPr="00D81CB3" w:rsidTr="00C33192">
        <w:trPr>
          <w:trHeight w:val="315"/>
        </w:trPr>
        <w:tc>
          <w:tcPr>
            <w:tcW w:w="1251"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constant</w:t>
            </w:r>
          </w:p>
        </w:tc>
        <w:tc>
          <w:tcPr>
            <w:tcW w:w="117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0.853</w:t>
            </w:r>
          </w:p>
        </w:tc>
        <w:tc>
          <w:tcPr>
            <w:tcW w:w="153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0.107</w:t>
            </w:r>
          </w:p>
        </w:tc>
        <w:tc>
          <w:tcPr>
            <w:tcW w:w="1285"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7.96</w:t>
            </w:r>
          </w:p>
        </w:tc>
        <w:tc>
          <w:tcPr>
            <w:tcW w:w="1149"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251"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hhsize</w:t>
            </w:r>
          </w:p>
        </w:tc>
        <w:tc>
          <w:tcPr>
            <w:tcW w:w="117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0.135</w:t>
            </w:r>
          </w:p>
        </w:tc>
        <w:tc>
          <w:tcPr>
            <w:tcW w:w="153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w:t>
            </w:r>
            <w:r>
              <w:rPr>
                <w:rFonts w:ascii="Times New Roman" w:eastAsia="Calibri" w:hAnsi="Times New Roman" w:cs="Times New Roman"/>
                <w:sz w:val="24"/>
              </w:rPr>
              <w:t>15</w:t>
            </w:r>
          </w:p>
        </w:tc>
        <w:tc>
          <w:tcPr>
            <w:tcW w:w="1285"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8.96</w:t>
            </w:r>
          </w:p>
        </w:tc>
        <w:tc>
          <w:tcPr>
            <w:tcW w:w="1149"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251"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hhincome</w:t>
            </w:r>
          </w:p>
        </w:tc>
        <w:tc>
          <w:tcPr>
            <w:tcW w:w="117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-0.0057</w:t>
            </w:r>
          </w:p>
        </w:tc>
        <w:tc>
          <w:tcPr>
            <w:tcW w:w="153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0.0015</w:t>
            </w:r>
          </w:p>
        </w:tc>
        <w:tc>
          <w:tcPr>
            <w:tcW w:w="1285"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w:t>
            </w:r>
            <w:r>
              <w:rPr>
                <w:rFonts w:ascii="Times New Roman" w:eastAsia="Calibri" w:hAnsi="Times New Roman" w:cs="Times New Roman"/>
                <w:sz w:val="24"/>
              </w:rPr>
              <w:t>3.79</w:t>
            </w:r>
          </w:p>
        </w:tc>
        <w:tc>
          <w:tcPr>
            <w:tcW w:w="1149" w:type="dxa"/>
            <w:shd w:val="clear" w:color="auto" w:fill="auto"/>
            <w:noWrap/>
            <w:tcMar>
              <w:top w:w="15" w:type="dxa"/>
              <w:left w:w="72" w:type="dxa"/>
              <w:bottom w:w="0" w:type="dxa"/>
              <w:right w:w="72" w:type="dxa"/>
            </w:tcMar>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&lt;0.001</w:t>
            </w:r>
          </w:p>
        </w:tc>
      </w:tr>
      <w:tr w:rsidR="00C33192" w:rsidRPr="00D81CB3" w:rsidTr="00C33192">
        <w:trPr>
          <w:trHeight w:val="315"/>
        </w:trPr>
        <w:tc>
          <w:tcPr>
            <w:tcW w:w="1251"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entropyqmi</w:t>
            </w:r>
          </w:p>
        </w:tc>
        <w:tc>
          <w:tcPr>
            <w:tcW w:w="1170"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0.1</w:t>
            </w:r>
            <w:r>
              <w:rPr>
                <w:rFonts w:ascii="Times New Roman" w:eastAsia="Calibri" w:hAnsi="Times New Roman" w:cs="Times New Roman"/>
                <w:sz w:val="24"/>
              </w:rPr>
              <w:t>73</w:t>
            </w:r>
          </w:p>
        </w:tc>
        <w:tc>
          <w:tcPr>
            <w:tcW w:w="1533"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0.084</w:t>
            </w:r>
          </w:p>
        </w:tc>
        <w:tc>
          <w:tcPr>
            <w:tcW w:w="1285"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2.05</w:t>
            </w:r>
          </w:p>
        </w:tc>
        <w:tc>
          <w:tcPr>
            <w:tcW w:w="1149" w:type="dxa"/>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jc w:val="right"/>
              <w:rPr>
                <w:rFonts w:ascii="Times New Roman" w:eastAsia="Calibri" w:hAnsi="Times New Roman" w:cs="Times New Roman"/>
                <w:sz w:val="24"/>
              </w:rPr>
            </w:pPr>
            <w:r w:rsidRPr="00D81CB3">
              <w:rPr>
                <w:rFonts w:ascii="Times New Roman" w:eastAsia="Calibri" w:hAnsi="Times New Roman" w:cs="Times New Roman"/>
                <w:sz w:val="24"/>
              </w:rPr>
              <w:t>0.0</w:t>
            </w:r>
            <w:r>
              <w:rPr>
                <w:rFonts w:ascii="Times New Roman" w:eastAsia="Calibri" w:hAnsi="Times New Roman" w:cs="Times New Roman"/>
                <w:sz w:val="24"/>
              </w:rPr>
              <w:t>40</w:t>
            </w:r>
          </w:p>
        </w:tc>
      </w:tr>
      <w:tr w:rsidR="00C33192" w:rsidRPr="00D81CB3" w:rsidTr="00C33192">
        <w:trPr>
          <w:trHeight w:val="315"/>
        </w:trPr>
        <w:tc>
          <w:tcPr>
            <w:tcW w:w="6388" w:type="dxa"/>
            <w:gridSpan w:val="5"/>
            <w:shd w:val="clear" w:color="auto" w:fill="auto"/>
            <w:noWrap/>
            <w:tcMar>
              <w:top w:w="15" w:type="dxa"/>
              <w:left w:w="72" w:type="dxa"/>
              <w:bottom w:w="0" w:type="dxa"/>
              <w:right w:w="72" w:type="dxa"/>
            </w:tcMar>
            <w:vAlign w:val="bottom"/>
            <w:hideMark/>
          </w:tcPr>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 xml:space="preserve">-2 log-likelihood ratio  </w:t>
            </w:r>
            <w:r w:rsidR="00285C99" w:rsidRPr="00285C99">
              <w:rPr>
                <w:rFonts w:ascii="Times New Roman" w:eastAsia="Calibri" w:hAnsi="Times New Roman" w:cs="Times New Roman"/>
                <w:sz w:val="24"/>
              </w:rPr>
              <w:t>3</w:t>
            </w:r>
            <w:r w:rsidR="00285C99">
              <w:rPr>
                <w:rFonts w:ascii="Times New Roman" w:eastAsia="Calibri" w:hAnsi="Times New Roman" w:cs="Times New Roman"/>
                <w:sz w:val="24"/>
              </w:rPr>
              <w:t>,</w:t>
            </w:r>
            <w:r w:rsidR="00285C99" w:rsidRPr="00285C99">
              <w:rPr>
                <w:rFonts w:ascii="Times New Roman" w:eastAsia="Calibri" w:hAnsi="Times New Roman" w:cs="Times New Roman"/>
                <w:sz w:val="24"/>
              </w:rPr>
              <w:t>215</w:t>
            </w:r>
          </w:p>
          <w:p w:rsidR="00C33192" w:rsidRPr="00D81CB3" w:rsidRDefault="00C33192" w:rsidP="00C33192">
            <w:pPr>
              <w:spacing w:after="0" w:line="240" w:lineRule="auto"/>
              <w:rPr>
                <w:rFonts w:ascii="Times New Roman" w:eastAsia="Calibri" w:hAnsi="Times New Roman" w:cs="Times New Roman"/>
                <w:sz w:val="24"/>
              </w:rPr>
            </w:pPr>
            <w:r w:rsidRPr="00D81CB3">
              <w:rPr>
                <w:rFonts w:ascii="Times New Roman" w:eastAsia="Calibri" w:hAnsi="Times New Roman" w:cs="Times New Roman"/>
                <w:sz w:val="24"/>
              </w:rPr>
              <w:t>pseudo-R2  0.15</w:t>
            </w:r>
          </w:p>
        </w:tc>
      </w:tr>
    </w:tbl>
    <w:p w:rsidR="00C33192" w:rsidRDefault="00C33192"/>
    <w:p w:rsidR="00C33192" w:rsidRDefault="00C33192"/>
    <w:p w:rsidR="00C33192" w:rsidRDefault="00C33192"/>
    <w:p w:rsidR="00C33192" w:rsidRDefault="00C33192"/>
    <w:p w:rsidR="00C33192" w:rsidRDefault="00C33192"/>
    <w:p w:rsidR="00C33192" w:rsidRDefault="00C33192"/>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5930A6" w:rsidRDefault="005930A6">
      <w:pPr>
        <w:rPr>
          <w:rFonts w:ascii="Times New Roman" w:eastAsia="Calibri" w:hAnsi="Times New Roman" w:cs="Times New Roman"/>
          <w:sz w:val="24"/>
        </w:rPr>
      </w:pPr>
      <w:r>
        <w:rPr>
          <w:rFonts w:ascii="Times New Roman" w:eastAsia="Calibri" w:hAnsi="Times New Roman" w:cs="Times New Roman"/>
          <w:sz w:val="24"/>
        </w:rPr>
        <w:br w:type="page"/>
      </w:r>
    </w:p>
    <w:p w:rsidR="00C33192" w:rsidRDefault="00C33192" w:rsidP="009F38B4">
      <w:pPr>
        <w:spacing w:after="0" w:line="480" w:lineRule="auto"/>
        <w:rPr>
          <w:rFonts w:ascii="Times New Roman" w:eastAsia="Calibri" w:hAnsi="Times New Roman" w:cs="Times New Roman"/>
          <w:sz w:val="24"/>
        </w:rPr>
      </w:pPr>
      <w:r>
        <w:rPr>
          <w:rFonts w:ascii="Times New Roman" w:eastAsia="Calibri" w:hAnsi="Times New Roman" w:cs="Times New Roman"/>
          <w:sz w:val="24"/>
        </w:rPr>
        <w:lastRenderedPageBreak/>
        <w:t>Table 8</w:t>
      </w:r>
      <w:r w:rsidRPr="00763834">
        <w:rPr>
          <w:rFonts w:ascii="Times New Roman" w:eastAsia="Calibri" w:hAnsi="Times New Roman" w:cs="Times New Roman"/>
          <w:sz w:val="24"/>
        </w:rPr>
        <w:t xml:space="preserve">. </w:t>
      </w:r>
      <w:r>
        <w:rPr>
          <w:rFonts w:ascii="Times New Roman" w:eastAsia="Calibri" w:hAnsi="Times New Roman" w:cs="Times New Roman"/>
          <w:sz w:val="24"/>
        </w:rPr>
        <w:t>Top 15 popular automobiles for low income households according to NHTS</w:t>
      </w:r>
    </w:p>
    <w:tbl>
      <w:tblPr>
        <w:tblStyle w:val="TableGrid"/>
        <w:tblW w:w="8523" w:type="dxa"/>
        <w:tblInd w:w="108" w:type="dxa"/>
        <w:tblLook w:val="04A0" w:firstRow="1" w:lastRow="0" w:firstColumn="1" w:lastColumn="0" w:noHBand="0" w:noVBand="1"/>
      </w:tblPr>
      <w:tblGrid>
        <w:gridCol w:w="783"/>
        <w:gridCol w:w="1890"/>
        <w:gridCol w:w="3960"/>
        <w:gridCol w:w="1890"/>
      </w:tblGrid>
      <w:tr w:rsidR="00C33192" w:rsidRPr="003B5B86" w:rsidTr="00C33192">
        <w:trPr>
          <w:trHeight w:val="300"/>
        </w:trPr>
        <w:tc>
          <w:tcPr>
            <w:tcW w:w="783" w:type="dxa"/>
            <w:noWrap/>
            <w:hideMark/>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Rank</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make name</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model name</w:t>
            </w:r>
          </w:p>
        </w:tc>
        <w:tc>
          <w:tcPr>
            <w:tcW w:w="1890" w:type="dxa"/>
            <w:noWrap/>
            <w:hideMark/>
          </w:tcPr>
          <w:p w:rsidR="00C33192" w:rsidRPr="003B5B86" w:rsidRDefault="00C33192" w:rsidP="00C33192">
            <w:pPr>
              <w:jc w:val="cente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Number of cases</w:t>
            </w:r>
          </w:p>
        </w:tc>
      </w:tr>
      <w:tr w:rsidR="00C33192" w:rsidRPr="003B5B86" w:rsidTr="00C33192">
        <w:trPr>
          <w:trHeight w:val="300"/>
        </w:trPr>
        <w:tc>
          <w:tcPr>
            <w:tcW w:w="783" w:type="dxa"/>
            <w:noWrap/>
            <w:hideMark/>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1</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FORD</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F-Series pickup</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934</w:t>
            </w:r>
          </w:p>
        </w:tc>
      </w:tr>
      <w:tr w:rsidR="00C33192" w:rsidRPr="003B5B86" w:rsidTr="00C33192">
        <w:trPr>
          <w:trHeight w:val="300"/>
        </w:trPr>
        <w:tc>
          <w:tcPr>
            <w:tcW w:w="783" w:type="dxa"/>
            <w:noWrap/>
            <w:hideMark/>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2</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CHEVROLET</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C, K, R, V-Series  pickup/Silverado</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842</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3</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TOYOTA</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Camry</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691</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4</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HONDA</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 xml:space="preserve">Accord </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023</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5</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FORD</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Taurus/Taurus X</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018</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6</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TOYOTA</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 xml:space="preserve">Corolla </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781</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7</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DODGE</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 xml:space="preserve">Caravan/Grand Caravan </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644</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8</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FORD</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 xml:space="preserve">Ranger </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642</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9</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HONDA</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Insight</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534</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10</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FORD</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 xml:space="preserve">Bronco II/Explorer/Explorer Sport  </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272</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11</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CHEVROLET</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Impala/Caprice</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238</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12</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DODGE</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Ram Pickup</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194</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13</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CHEVROLET</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Fullsize Blazer/Tahoe</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136</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14</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JEEP</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Cherokee</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B5B86">
              <w:rPr>
                <w:rFonts w:ascii="Times New Roman" w:eastAsia="Times New Roman" w:hAnsi="Times New Roman" w:cs="Times New Roman"/>
                <w:sz w:val="24"/>
                <w:szCs w:val="24"/>
              </w:rPr>
              <w:t>088</w:t>
            </w:r>
          </w:p>
        </w:tc>
      </w:tr>
      <w:tr w:rsidR="00C33192" w:rsidRPr="003B5B86" w:rsidTr="00C33192">
        <w:trPr>
          <w:trHeight w:val="300"/>
        </w:trPr>
        <w:tc>
          <w:tcPr>
            <w:tcW w:w="783" w:type="dxa"/>
            <w:noWrap/>
          </w:tcPr>
          <w:p w:rsidR="00C33192" w:rsidRPr="003B5B86" w:rsidRDefault="00C33192" w:rsidP="00C33192">
            <w:pPr>
              <w:jc w:val="center"/>
              <w:rPr>
                <w:rFonts w:ascii="Times New Roman" w:eastAsia="Times New Roman" w:hAnsi="Times New Roman" w:cs="Times New Roman"/>
                <w:sz w:val="24"/>
                <w:szCs w:val="24"/>
              </w:rPr>
            </w:pPr>
            <w:r w:rsidRPr="00411AB7">
              <w:rPr>
                <w:rFonts w:ascii="Times New Roman" w:eastAsia="Times New Roman" w:hAnsi="Times New Roman" w:cs="Times New Roman"/>
                <w:sz w:val="24"/>
                <w:szCs w:val="24"/>
              </w:rPr>
              <w:t>15</w:t>
            </w:r>
          </w:p>
        </w:tc>
        <w:tc>
          <w:tcPr>
            <w:tcW w:w="1890" w:type="dxa"/>
          </w:tcPr>
          <w:p w:rsidR="00C33192" w:rsidRPr="00411AB7" w:rsidRDefault="00C33192" w:rsidP="00C33192">
            <w:pPr>
              <w:rPr>
                <w:rFonts w:ascii="Times New Roman" w:hAnsi="Times New Roman" w:cs="Times New Roman"/>
                <w:sz w:val="24"/>
                <w:szCs w:val="24"/>
              </w:rPr>
            </w:pPr>
            <w:r w:rsidRPr="00411AB7">
              <w:rPr>
                <w:rFonts w:ascii="Times New Roman" w:hAnsi="Times New Roman" w:cs="Times New Roman"/>
                <w:sz w:val="24"/>
                <w:szCs w:val="24"/>
              </w:rPr>
              <w:t>MERCURY</w:t>
            </w:r>
          </w:p>
        </w:tc>
        <w:tc>
          <w:tcPr>
            <w:tcW w:w="3960" w:type="dxa"/>
            <w:noWrap/>
            <w:hideMark/>
          </w:tcPr>
          <w:p w:rsidR="00C33192" w:rsidRPr="003B5B86" w:rsidRDefault="00C33192" w:rsidP="00C33192">
            <w:pPr>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Marquis/Monterey</w:t>
            </w:r>
          </w:p>
        </w:tc>
        <w:tc>
          <w:tcPr>
            <w:tcW w:w="1890" w:type="dxa"/>
            <w:noWrap/>
            <w:hideMark/>
          </w:tcPr>
          <w:p w:rsidR="00C33192" w:rsidRPr="003B5B86" w:rsidRDefault="00C33192" w:rsidP="00C33192">
            <w:pPr>
              <w:jc w:val="right"/>
              <w:rPr>
                <w:rFonts w:ascii="Times New Roman" w:eastAsia="Times New Roman" w:hAnsi="Times New Roman" w:cs="Times New Roman"/>
                <w:sz w:val="24"/>
                <w:szCs w:val="24"/>
              </w:rPr>
            </w:pPr>
            <w:r w:rsidRPr="003B5B86">
              <w:rPr>
                <w:rFonts w:ascii="Times New Roman" w:eastAsia="Times New Roman" w:hAnsi="Times New Roman" w:cs="Times New Roman"/>
                <w:sz w:val="24"/>
                <w:szCs w:val="24"/>
              </w:rPr>
              <w:t>990</w:t>
            </w:r>
          </w:p>
        </w:tc>
      </w:tr>
    </w:tbl>
    <w:p w:rsidR="00C33192" w:rsidRDefault="00C33192"/>
    <w:p w:rsidR="00C33192" w:rsidRDefault="00C33192"/>
    <w:p w:rsidR="00C33192" w:rsidRDefault="00C33192"/>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9F38B4" w:rsidRDefault="009F38B4" w:rsidP="00C33192">
      <w:pPr>
        <w:spacing w:after="0" w:line="240" w:lineRule="auto"/>
        <w:rPr>
          <w:rFonts w:ascii="Times New Roman" w:eastAsia="Calibri" w:hAnsi="Times New Roman" w:cs="Times New Roman"/>
          <w:sz w:val="24"/>
        </w:rPr>
      </w:pPr>
    </w:p>
    <w:p w:rsidR="00C33192" w:rsidRPr="00763834" w:rsidRDefault="00C33192" w:rsidP="009F38B4">
      <w:pPr>
        <w:spacing w:after="0" w:line="480" w:lineRule="auto"/>
        <w:rPr>
          <w:rFonts w:ascii="Times New Roman" w:eastAsia="Calibri" w:hAnsi="Times New Roman" w:cs="Times New Roman"/>
          <w:sz w:val="24"/>
        </w:rPr>
      </w:pPr>
      <w:r>
        <w:rPr>
          <w:rFonts w:ascii="Times New Roman" w:eastAsia="Calibri" w:hAnsi="Times New Roman" w:cs="Times New Roman"/>
          <w:sz w:val="24"/>
        </w:rPr>
        <w:t>Table 9</w:t>
      </w:r>
      <w:r w:rsidRPr="00763834">
        <w:rPr>
          <w:rFonts w:ascii="Times New Roman" w:eastAsia="Calibri" w:hAnsi="Times New Roman" w:cs="Times New Roman"/>
          <w:sz w:val="24"/>
        </w:rPr>
        <w:t>. Five Most and Least Expensive Regions for Average Gasoline Price per Gallon (2010)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3708"/>
        <w:gridCol w:w="1710"/>
      </w:tblGrid>
      <w:tr w:rsidR="00C33192" w:rsidRPr="00763834" w:rsidTr="00C33192">
        <w:trPr>
          <w:trHeight w:val="350"/>
        </w:trPr>
        <w:tc>
          <w:tcPr>
            <w:tcW w:w="5418" w:type="dxa"/>
            <w:gridSpan w:val="2"/>
            <w:shd w:val="clear" w:color="auto" w:fill="auto"/>
          </w:tcPr>
          <w:p w:rsidR="00C33192" w:rsidRPr="00763834" w:rsidRDefault="00C33192" w:rsidP="00C33192">
            <w:pPr>
              <w:spacing w:after="0" w:line="240" w:lineRule="auto"/>
              <w:rPr>
                <w:rFonts w:ascii="Times New Roman" w:eastAsia="Calibri" w:hAnsi="Times New Roman" w:cs="Times New Roman"/>
                <w:sz w:val="24"/>
              </w:rPr>
            </w:pPr>
            <w:r w:rsidRPr="00763834">
              <w:rPr>
                <w:rFonts w:ascii="Times New Roman" w:eastAsia="Calibri" w:hAnsi="Times New Roman" w:cs="Times New Roman"/>
                <w:sz w:val="24"/>
              </w:rPr>
              <w:t>Most expensive regions ($ per gallon)</w:t>
            </w:r>
          </w:p>
        </w:tc>
      </w:tr>
      <w:tr w:rsidR="00C33192" w:rsidRPr="00763834" w:rsidTr="00C33192">
        <w:trPr>
          <w:trHeight w:val="215"/>
        </w:trPr>
        <w:tc>
          <w:tcPr>
            <w:tcW w:w="3708" w:type="dxa"/>
            <w:shd w:val="clear" w:color="auto" w:fill="auto"/>
          </w:tcPr>
          <w:p w:rsidR="00C33192" w:rsidRPr="00763834" w:rsidRDefault="00C33192" w:rsidP="00C33192">
            <w:pPr>
              <w:tabs>
                <w:tab w:val="left" w:pos="1033"/>
              </w:tabs>
              <w:spacing w:after="0" w:line="240" w:lineRule="auto"/>
              <w:jc w:val="both"/>
              <w:rPr>
                <w:rFonts w:ascii="Times New Roman" w:eastAsia="Calibri" w:hAnsi="Times New Roman" w:cs="Times New Roman"/>
                <w:sz w:val="24"/>
              </w:rPr>
            </w:pPr>
            <w:r w:rsidRPr="00763834">
              <w:rPr>
                <w:rFonts w:ascii="Times New Roman" w:eastAsia="Calibri" w:hAnsi="Times New Roman" w:cs="Times New Roman"/>
                <w:sz w:val="24"/>
              </w:rPr>
              <w:t>Honolulu, HI</w:t>
            </w:r>
          </w:p>
        </w:tc>
        <w:tc>
          <w:tcPr>
            <w:tcW w:w="1710" w:type="dxa"/>
            <w:shd w:val="clear" w:color="auto" w:fill="auto"/>
            <w:vAlign w:val="bottom"/>
          </w:tcPr>
          <w:p w:rsidR="00C33192" w:rsidRPr="00763834" w:rsidRDefault="00C33192" w:rsidP="00C33192">
            <w:pPr>
              <w:spacing w:after="0" w:line="240" w:lineRule="auto"/>
              <w:jc w:val="right"/>
              <w:rPr>
                <w:rFonts w:ascii="Times New Roman" w:eastAsia="Calibri" w:hAnsi="Times New Roman" w:cs="Times New Roman"/>
                <w:color w:val="000000"/>
                <w:sz w:val="24"/>
              </w:rPr>
            </w:pPr>
            <w:r w:rsidRPr="00763834">
              <w:rPr>
                <w:rFonts w:ascii="Times New Roman" w:eastAsia="Calibri" w:hAnsi="Times New Roman" w:cs="Times New Roman"/>
                <w:color w:val="000000"/>
                <w:sz w:val="24"/>
              </w:rPr>
              <w:t>$3.37</w:t>
            </w:r>
          </w:p>
        </w:tc>
      </w:tr>
      <w:tr w:rsidR="00C33192" w:rsidRPr="00763834" w:rsidTr="00C33192">
        <w:tc>
          <w:tcPr>
            <w:tcW w:w="3708" w:type="dxa"/>
            <w:shd w:val="clear" w:color="auto" w:fill="auto"/>
          </w:tcPr>
          <w:p w:rsidR="00C33192" w:rsidRPr="00763834" w:rsidRDefault="00C33192" w:rsidP="00C33192">
            <w:pPr>
              <w:tabs>
                <w:tab w:val="left" w:pos="1423"/>
              </w:tabs>
              <w:spacing w:after="0" w:line="240" w:lineRule="auto"/>
              <w:jc w:val="both"/>
              <w:rPr>
                <w:rFonts w:ascii="Times New Roman" w:eastAsia="Calibri" w:hAnsi="Times New Roman" w:cs="Times New Roman"/>
                <w:sz w:val="24"/>
              </w:rPr>
            </w:pPr>
            <w:r w:rsidRPr="00763834">
              <w:rPr>
                <w:rFonts w:ascii="Times New Roman" w:eastAsia="Calibri" w:hAnsi="Times New Roman" w:cs="Times New Roman"/>
                <w:sz w:val="24"/>
              </w:rPr>
              <w:t>Anchorage, AK</w:t>
            </w:r>
          </w:p>
        </w:tc>
        <w:tc>
          <w:tcPr>
            <w:tcW w:w="1710" w:type="dxa"/>
            <w:shd w:val="clear" w:color="auto" w:fill="auto"/>
            <w:vAlign w:val="bottom"/>
          </w:tcPr>
          <w:p w:rsidR="00C33192" w:rsidRPr="00763834" w:rsidRDefault="00C33192" w:rsidP="00C33192">
            <w:pPr>
              <w:spacing w:after="0" w:line="240" w:lineRule="auto"/>
              <w:jc w:val="right"/>
              <w:rPr>
                <w:rFonts w:ascii="Times New Roman" w:eastAsia="Calibri" w:hAnsi="Times New Roman" w:cs="Times New Roman"/>
                <w:color w:val="000000"/>
                <w:sz w:val="24"/>
              </w:rPr>
            </w:pPr>
            <w:r w:rsidRPr="00763834">
              <w:rPr>
                <w:rFonts w:ascii="Times New Roman" w:eastAsia="Calibri" w:hAnsi="Times New Roman" w:cs="Times New Roman"/>
                <w:color w:val="000000"/>
                <w:sz w:val="24"/>
              </w:rPr>
              <w:t>$3.35</w:t>
            </w:r>
          </w:p>
        </w:tc>
      </w:tr>
      <w:tr w:rsidR="00C33192" w:rsidRPr="00763834" w:rsidTr="00C33192">
        <w:tc>
          <w:tcPr>
            <w:tcW w:w="3708" w:type="dxa"/>
            <w:shd w:val="clear" w:color="auto" w:fill="auto"/>
          </w:tcPr>
          <w:p w:rsidR="00C33192" w:rsidRPr="00763834" w:rsidRDefault="00C33192" w:rsidP="00C33192">
            <w:pPr>
              <w:tabs>
                <w:tab w:val="left" w:pos="2795"/>
              </w:tabs>
              <w:spacing w:after="0" w:line="240" w:lineRule="auto"/>
              <w:jc w:val="both"/>
              <w:rPr>
                <w:rFonts w:ascii="Times New Roman" w:eastAsia="Calibri" w:hAnsi="Times New Roman" w:cs="Times New Roman"/>
                <w:sz w:val="24"/>
              </w:rPr>
            </w:pPr>
            <w:r w:rsidRPr="00763834">
              <w:rPr>
                <w:rFonts w:ascii="Times New Roman" w:eastAsia="Calibri" w:hAnsi="Times New Roman" w:cs="Times New Roman"/>
                <w:sz w:val="24"/>
              </w:rPr>
              <w:t>San Francisco, CA</w:t>
            </w:r>
          </w:p>
        </w:tc>
        <w:tc>
          <w:tcPr>
            <w:tcW w:w="1710" w:type="dxa"/>
            <w:shd w:val="clear" w:color="auto" w:fill="auto"/>
            <w:vAlign w:val="bottom"/>
          </w:tcPr>
          <w:p w:rsidR="00C33192" w:rsidRPr="00763834" w:rsidRDefault="00C33192" w:rsidP="00C33192">
            <w:pPr>
              <w:spacing w:after="0" w:line="240" w:lineRule="auto"/>
              <w:jc w:val="right"/>
              <w:rPr>
                <w:rFonts w:ascii="Times New Roman" w:eastAsia="Calibri" w:hAnsi="Times New Roman" w:cs="Times New Roman"/>
                <w:color w:val="000000"/>
                <w:sz w:val="24"/>
              </w:rPr>
            </w:pPr>
            <w:r w:rsidRPr="00763834">
              <w:rPr>
                <w:rFonts w:ascii="Times New Roman" w:eastAsia="Calibri" w:hAnsi="Times New Roman" w:cs="Times New Roman"/>
                <w:color w:val="000000"/>
                <w:sz w:val="24"/>
              </w:rPr>
              <w:t>$3.19</w:t>
            </w:r>
          </w:p>
        </w:tc>
      </w:tr>
      <w:tr w:rsidR="00C33192" w:rsidRPr="00763834" w:rsidTr="00C33192">
        <w:tc>
          <w:tcPr>
            <w:tcW w:w="3708" w:type="dxa"/>
            <w:shd w:val="clear" w:color="auto" w:fill="auto"/>
          </w:tcPr>
          <w:p w:rsidR="00C33192" w:rsidRPr="00763834" w:rsidRDefault="00C33192" w:rsidP="00C33192">
            <w:pPr>
              <w:spacing w:after="0" w:line="240" w:lineRule="auto"/>
              <w:jc w:val="both"/>
              <w:rPr>
                <w:rFonts w:ascii="Times New Roman" w:eastAsia="Calibri" w:hAnsi="Times New Roman" w:cs="Times New Roman"/>
                <w:sz w:val="24"/>
              </w:rPr>
            </w:pPr>
            <w:r w:rsidRPr="00763834">
              <w:rPr>
                <w:rFonts w:ascii="Times New Roman" w:eastAsia="Calibri" w:hAnsi="Times New Roman" w:cs="Times New Roman"/>
                <w:sz w:val="24"/>
              </w:rPr>
              <w:t>Bakersfield, CA</w:t>
            </w:r>
          </w:p>
        </w:tc>
        <w:tc>
          <w:tcPr>
            <w:tcW w:w="1710" w:type="dxa"/>
            <w:shd w:val="clear" w:color="auto" w:fill="auto"/>
            <w:vAlign w:val="bottom"/>
          </w:tcPr>
          <w:p w:rsidR="00C33192" w:rsidRPr="00763834" w:rsidRDefault="00C33192" w:rsidP="00C33192">
            <w:pPr>
              <w:spacing w:after="0" w:line="240" w:lineRule="auto"/>
              <w:jc w:val="right"/>
              <w:rPr>
                <w:rFonts w:ascii="Times New Roman" w:eastAsia="Calibri" w:hAnsi="Times New Roman" w:cs="Times New Roman"/>
                <w:color w:val="000000"/>
                <w:sz w:val="24"/>
              </w:rPr>
            </w:pPr>
            <w:r w:rsidRPr="00763834">
              <w:rPr>
                <w:rFonts w:ascii="Times New Roman" w:eastAsia="Calibri" w:hAnsi="Times New Roman" w:cs="Times New Roman"/>
                <w:color w:val="000000"/>
                <w:sz w:val="24"/>
              </w:rPr>
              <w:t>$3.16</w:t>
            </w:r>
          </w:p>
        </w:tc>
      </w:tr>
      <w:tr w:rsidR="00C33192" w:rsidRPr="00763834" w:rsidTr="00C33192">
        <w:tc>
          <w:tcPr>
            <w:tcW w:w="3708" w:type="dxa"/>
            <w:shd w:val="clear" w:color="auto" w:fill="auto"/>
          </w:tcPr>
          <w:p w:rsidR="00C33192" w:rsidRPr="00763834" w:rsidRDefault="00C33192" w:rsidP="00C33192">
            <w:pPr>
              <w:spacing w:after="0" w:line="240" w:lineRule="auto"/>
              <w:rPr>
                <w:rFonts w:ascii="Times New Roman" w:eastAsia="Calibri" w:hAnsi="Times New Roman" w:cs="Times New Roman"/>
                <w:sz w:val="24"/>
              </w:rPr>
            </w:pPr>
            <w:r w:rsidRPr="00763834">
              <w:rPr>
                <w:rFonts w:ascii="Times New Roman" w:eastAsia="Calibri" w:hAnsi="Times New Roman" w:cs="Times New Roman"/>
                <w:sz w:val="24"/>
              </w:rPr>
              <w:t>Santa Barbara-Santa Maria, CA</w:t>
            </w:r>
          </w:p>
        </w:tc>
        <w:tc>
          <w:tcPr>
            <w:tcW w:w="1710" w:type="dxa"/>
            <w:shd w:val="clear" w:color="auto" w:fill="auto"/>
            <w:vAlign w:val="bottom"/>
          </w:tcPr>
          <w:p w:rsidR="00C33192" w:rsidRPr="00763834" w:rsidRDefault="00C33192" w:rsidP="00C33192">
            <w:pPr>
              <w:spacing w:after="0" w:line="240" w:lineRule="auto"/>
              <w:jc w:val="right"/>
              <w:rPr>
                <w:rFonts w:ascii="Times New Roman" w:eastAsia="Calibri" w:hAnsi="Times New Roman" w:cs="Times New Roman"/>
                <w:color w:val="000000"/>
                <w:sz w:val="24"/>
              </w:rPr>
            </w:pPr>
            <w:r w:rsidRPr="00763834">
              <w:rPr>
                <w:rFonts w:ascii="Times New Roman" w:eastAsia="Calibri" w:hAnsi="Times New Roman" w:cs="Times New Roman"/>
                <w:color w:val="000000"/>
                <w:sz w:val="24"/>
              </w:rPr>
              <w:t>$3.15</w:t>
            </w:r>
          </w:p>
        </w:tc>
      </w:tr>
      <w:tr w:rsidR="00C33192" w:rsidRPr="00763834" w:rsidTr="00C33192">
        <w:trPr>
          <w:trHeight w:val="305"/>
        </w:trPr>
        <w:tc>
          <w:tcPr>
            <w:tcW w:w="5418" w:type="dxa"/>
            <w:gridSpan w:val="2"/>
            <w:shd w:val="clear" w:color="auto" w:fill="auto"/>
          </w:tcPr>
          <w:p w:rsidR="00C33192" w:rsidRPr="00763834" w:rsidRDefault="00C33192" w:rsidP="00C33192">
            <w:pPr>
              <w:spacing w:after="0" w:line="240" w:lineRule="auto"/>
              <w:rPr>
                <w:rFonts w:ascii="Times New Roman" w:eastAsia="Calibri" w:hAnsi="Times New Roman" w:cs="Times New Roman"/>
                <w:sz w:val="24"/>
              </w:rPr>
            </w:pPr>
            <w:r w:rsidRPr="00763834">
              <w:rPr>
                <w:rFonts w:ascii="Times New Roman" w:eastAsia="Calibri" w:hAnsi="Times New Roman" w:cs="Times New Roman"/>
                <w:sz w:val="24"/>
              </w:rPr>
              <w:t>Least expensive regions ($ per gallon)</w:t>
            </w:r>
          </w:p>
        </w:tc>
      </w:tr>
      <w:tr w:rsidR="00C33192" w:rsidRPr="00763834" w:rsidTr="00C33192">
        <w:tc>
          <w:tcPr>
            <w:tcW w:w="3708" w:type="dxa"/>
            <w:shd w:val="clear" w:color="auto" w:fill="auto"/>
          </w:tcPr>
          <w:p w:rsidR="00C33192" w:rsidRPr="00763834" w:rsidRDefault="00C33192" w:rsidP="00C33192">
            <w:pPr>
              <w:spacing w:after="0" w:line="240" w:lineRule="auto"/>
              <w:rPr>
                <w:rFonts w:ascii="Times New Roman" w:eastAsia="Calibri" w:hAnsi="Times New Roman" w:cs="Times New Roman"/>
                <w:sz w:val="24"/>
              </w:rPr>
            </w:pPr>
            <w:r w:rsidRPr="00763834">
              <w:rPr>
                <w:rFonts w:ascii="Times New Roman" w:eastAsia="Calibri" w:hAnsi="Times New Roman" w:cs="Times New Roman"/>
                <w:sz w:val="24"/>
              </w:rPr>
              <w:t>Springfield, MO</w:t>
            </w:r>
          </w:p>
        </w:tc>
        <w:tc>
          <w:tcPr>
            <w:tcW w:w="1710" w:type="dxa"/>
            <w:shd w:val="clear" w:color="auto" w:fill="auto"/>
            <w:vAlign w:val="bottom"/>
          </w:tcPr>
          <w:p w:rsidR="00C33192" w:rsidRPr="00763834" w:rsidRDefault="00C33192" w:rsidP="00C33192">
            <w:pPr>
              <w:spacing w:after="0" w:line="240" w:lineRule="auto"/>
              <w:jc w:val="right"/>
              <w:rPr>
                <w:rFonts w:ascii="Times New Roman" w:eastAsia="Calibri" w:hAnsi="Times New Roman" w:cs="Times New Roman"/>
                <w:color w:val="000000"/>
                <w:sz w:val="24"/>
              </w:rPr>
            </w:pPr>
            <w:r w:rsidRPr="00763834">
              <w:rPr>
                <w:rFonts w:ascii="Times New Roman" w:eastAsia="Calibri" w:hAnsi="Times New Roman" w:cs="Times New Roman"/>
                <w:color w:val="000000"/>
                <w:sz w:val="24"/>
              </w:rPr>
              <w:t>$2.55</w:t>
            </w:r>
          </w:p>
        </w:tc>
      </w:tr>
      <w:tr w:rsidR="00C33192" w:rsidRPr="00763834" w:rsidTr="00C33192">
        <w:tc>
          <w:tcPr>
            <w:tcW w:w="3708" w:type="dxa"/>
            <w:shd w:val="clear" w:color="auto" w:fill="auto"/>
          </w:tcPr>
          <w:p w:rsidR="00C33192" w:rsidRPr="00763834" w:rsidRDefault="00C33192" w:rsidP="00C33192">
            <w:pPr>
              <w:tabs>
                <w:tab w:val="left" w:pos="1694"/>
              </w:tabs>
              <w:spacing w:after="0" w:line="240" w:lineRule="auto"/>
              <w:rPr>
                <w:rFonts w:ascii="Times New Roman" w:eastAsia="Calibri" w:hAnsi="Times New Roman" w:cs="Times New Roman"/>
                <w:sz w:val="24"/>
              </w:rPr>
            </w:pPr>
            <w:r w:rsidRPr="00763834">
              <w:rPr>
                <w:rFonts w:ascii="Times New Roman" w:eastAsia="Calibri" w:hAnsi="Times New Roman" w:cs="Times New Roman"/>
                <w:sz w:val="24"/>
              </w:rPr>
              <w:t>Joplin, MO</w:t>
            </w:r>
          </w:p>
        </w:tc>
        <w:tc>
          <w:tcPr>
            <w:tcW w:w="1710" w:type="dxa"/>
            <w:shd w:val="clear" w:color="auto" w:fill="auto"/>
            <w:vAlign w:val="bottom"/>
          </w:tcPr>
          <w:p w:rsidR="00C33192" w:rsidRPr="00763834" w:rsidRDefault="00C33192" w:rsidP="00C33192">
            <w:pPr>
              <w:spacing w:after="0" w:line="240" w:lineRule="auto"/>
              <w:jc w:val="right"/>
              <w:rPr>
                <w:rFonts w:ascii="Times New Roman" w:eastAsia="Calibri" w:hAnsi="Times New Roman" w:cs="Times New Roman"/>
                <w:color w:val="000000"/>
                <w:sz w:val="24"/>
              </w:rPr>
            </w:pPr>
            <w:r w:rsidRPr="00763834">
              <w:rPr>
                <w:rFonts w:ascii="Times New Roman" w:eastAsia="Calibri" w:hAnsi="Times New Roman" w:cs="Times New Roman"/>
                <w:color w:val="000000"/>
                <w:sz w:val="24"/>
              </w:rPr>
              <w:t>$2.56</w:t>
            </w:r>
          </w:p>
        </w:tc>
      </w:tr>
      <w:tr w:rsidR="00C33192" w:rsidRPr="00763834" w:rsidTr="00C33192">
        <w:tc>
          <w:tcPr>
            <w:tcW w:w="3708" w:type="dxa"/>
            <w:shd w:val="clear" w:color="auto" w:fill="auto"/>
          </w:tcPr>
          <w:p w:rsidR="00C33192" w:rsidRPr="00763834" w:rsidRDefault="00C33192" w:rsidP="00C33192">
            <w:pPr>
              <w:tabs>
                <w:tab w:val="left" w:pos="1220"/>
              </w:tabs>
              <w:spacing w:after="0" w:line="240" w:lineRule="auto"/>
              <w:rPr>
                <w:rFonts w:ascii="Times New Roman" w:eastAsia="Calibri" w:hAnsi="Times New Roman" w:cs="Times New Roman"/>
                <w:sz w:val="24"/>
              </w:rPr>
            </w:pPr>
            <w:r w:rsidRPr="00763834">
              <w:rPr>
                <w:rFonts w:ascii="Times New Roman" w:eastAsia="Calibri" w:hAnsi="Times New Roman" w:cs="Times New Roman"/>
                <w:sz w:val="24"/>
              </w:rPr>
              <w:t>Augusta-Aiken, GA-SC</w:t>
            </w:r>
          </w:p>
        </w:tc>
        <w:tc>
          <w:tcPr>
            <w:tcW w:w="1710" w:type="dxa"/>
            <w:shd w:val="clear" w:color="auto" w:fill="auto"/>
            <w:vAlign w:val="bottom"/>
          </w:tcPr>
          <w:p w:rsidR="00C33192" w:rsidRPr="00763834" w:rsidRDefault="00C33192" w:rsidP="00C33192">
            <w:pPr>
              <w:spacing w:after="0" w:line="240" w:lineRule="auto"/>
              <w:jc w:val="right"/>
              <w:rPr>
                <w:rFonts w:ascii="Times New Roman" w:eastAsia="Calibri" w:hAnsi="Times New Roman" w:cs="Times New Roman"/>
                <w:color w:val="000000"/>
                <w:sz w:val="24"/>
              </w:rPr>
            </w:pPr>
            <w:r w:rsidRPr="00763834">
              <w:rPr>
                <w:rFonts w:ascii="Times New Roman" w:eastAsia="Calibri" w:hAnsi="Times New Roman" w:cs="Times New Roman"/>
                <w:color w:val="000000"/>
                <w:sz w:val="24"/>
              </w:rPr>
              <w:t>$2.56</w:t>
            </w:r>
          </w:p>
        </w:tc>
      </w:tr>
      <w:tr w:rsidR="00C33192" w:rsidRPr="00763834" w:rsidTr="00C33192">
        <w:tc>
          <w:tcPr>
            <w:tcW w:w="3708" w:type="dxa"/>
            <w:shd w:val="clear" w:color="auto" w:fill="auto"/>
          </w:tcPr>
          <w:p w:rsidR="00C33192" w:rsidRPr="00763834" w:rsidRDefault="00C33192" w:rsidP="00C33192">
            <w:pPr>
              <w:spacing w:after="0" w:line="240" w:lineRule="auto"/>
              <w:rPr>
                <w:rFonts w:ascii="Times New Roman" w:eastAsia="Calibri" w:hAnsi="Times New Roman" w:cs="Times New Roman"/>
                <w:sz w:val="24"/>
              </w:rPr>
            </w:pPr>
            <w:r w:rsidRPr="00763834">
              <w:rPr>
                <w:rFonts w:ascii="Times New Roman" w:eastAsia="Calibri" w:hAnsi="Times New Roman" w:cs="Times New Roman"/>
                <w:sz w:val="24"/>
              </w:rPr>
              <w:t>Greenville-Spartanburg, SC</w:t>
            </w:r>
          </w:p>
        </w:tc>
        <w:tc>
          <w:tcPr>
            <w:tcW w:w="1710" w:type="dxa"/>
            <w:shd w:val="clear" w:color="auto" w:fill="auto"/>
            <w:vAlign w:val="bottom"/>
          </w:tcPr>
          <w:p w:rsidR="00C33192" w:rsidRPr="00763834" w:rsidRDefault="00C33192" w:rsidP="00C33192">
            <w:pPr>
              <w:spacing w:after="0" w:line="240" w:lineRule="auto"/>
              <w:jc w:val="right"/>
              <w:rPr>
                <w:rFonts w:ascii="Times New Roman" w:eastAsia="Calibri" w:hAnsi="Times New Roman" w:cs="Times New Roman"/>
                <w:color w:val="000000"/>
                <w:sz w:val="24"/>
              </w:rPr>
            </w:pPr>
            <w:r w:rsidRPr="00763834">
              <w:rPr>
                <w:rFonts w:ascii="Times New Roman" w:eastAsia="Calibri" w:hAnsi="Times New Roman" w:cs="Times New Roman"/>
                <w:color w:val="000000"/>
                <w:sz w:val="24"/>
              </w:rPr>
              <w:t>$2.57</w:t>
            </w:r>
          </w:p>
        </w:tc>
      </w:tr>
      <w:tr w:rsidR="00C33192" w:rsidRPr="00763834" w:rsidTr="00C33192">
        <w:tc>
          <w:tcPr>
            <w:tcW w:w="3708" w:type="dxa"/>
            <w:shd w:val="clear" w:color="auto" w:fill="auto"/>
          </w:tcPr>
          <w:p w:rsidR="00C33192" w:rsidRPr="00763834" w:rsidRDefault="00C33192" w:rsidP="00C33192">
            <w:pPr>
              <w:spacing w:after="0" w:line="240" w:lineRule="auto"/>
              <w:rPr>
                <w:rFonts w:ascii="Times New Roman" w:eastAsia="Calibri" w:hAnsi="Times New Roman" w:cs="Times New Roman"/>
                <w:sz w:val="24"/>
              </w:rPr>
            </w:pPr>
            <w:r w:rsidRPr="00763834">
              <w:rPr>
                <w:rFonts w:ascii="Times New Roman" w:eastAsia="Calibri" w:hAnsi="Times New Roman" w:cs="Times New Roman"/>
                <w:sz w:val="24"/>
              </w:rPr>
              <w:t>Cheyenne, WY</w:t>
            </w:r>
          </w:p>
        </w:tc>
        <w:tc>
          <w:tcPr>
            <w:tcW w:w="1710" w:type="dxa"/>
            <w:shd w:val="clear" w:color="auto" w:fill="auto"/>
            <w:vAlign w:val="bottom"/>
          </w:tcPr>
          <w:p w:rsidR="00C33192" w:rsidRPr="00763834" w:rsidRDefault="00C33192" w:rsidP="00C33192">
            <w:pPr>
              <w:spacing w:after="0" w:line="240" w:lineRule="auto"/>
              <w:jc w:val="right"/>
              <w:rPr>
                <w:rFonts w:ascii="Times New Roman" w:eastAsia="Calibri" w:hAnsi="Times New Roman" w:cs="Times New Roman"/>
                <w:color w:val="000000"/>
                <w:sz w:val="24"/>
              </w:rPr>
            </w:pPr>
            <w:r w:rsidRPr="00763834">
              <w:rPr>
                <w:rFonts w:ascii="Times New Roman" w:eastAsia="Calibri" w:hAnsi="Times New Roman" w:cs="Times New Roman"/>
                <w:color w:val="000000"/>
                <w:sz w:val="24"/>
              </w:rPr>
              <w:t>$2.57</w:t>
            </w:r>
          </w:p>
        </w:tc>
      </w:tr>
    </w:tbl>
    <w:p w:rsidR="00C33192" w:rsidRDefault="00C33192"/>
    <w:p w:rsidR="00C33192" w:rsidRDefault="00C33192"/>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5930A6" w:rsidRDefault="005930A6">
      <w:pPr>
        <w:rPr>
          <w:rFonts w:ascii="Times New Roman" w:eastAsia="Calibri" w:hAnsi="Times New Roman" w:cs="Times New Roman"/>
          <w:sz w:val="24"/>
        </w:rPr>
      </w:pPr>
      <w:r>
        <w:rPr>
          <w:rFonts w:ascii="Times New Roman" w:eastAsia="Calibri" w:hAnsi="Times New Roman" w:cs="Times New Roman"/>
          <w:sz w:val="24"/>
        </w:rPr>
        <w:br w:type="page"/>
      </w:r>
    </w:p>
    <w:p w:rsidR="005930A6" w:rsidRDefault="005930A6" w:rsidP="005930A6">
      <w:pPr>
        <w:spacing w:after="0" w:line="480"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Table 10: Fifteen Metropolitan Areas with </w:t>
      </w:r>
      <w:r w:rsidRPr="00441A9C">
        <w:rPr>
          <w:rFonts w:ascii="Times New Roman" w:eastAsia="Calibri" w:hAnsi="Times New Roman" w:cs="Times New Roman"/>
          <w:sz w:val="24"/>
          <w:highlight w:val="yellow"/>
        </w:rPr>
        <w:t xml:space="preserve">Lowest </w:t>
      </w:r>
      <w:r>
        <w:rPr>
          <w:rFonts w:ascii="Times New Roman" w:eastAsia="Calibri" w:hAnsi="Times New Roman" w:cs="Times New Roman"/>
          <w:sz w:val="24"/>
          <w:highlight w:val="yellow"/>
        </w:rPr>
        <w:t>Percentage of A</w:t>
      </w:r>
      <w:r w:rsidRPr="00441A9C">
        <w:rPr>
          <w:rFonts w:ascii="Times New Roman" w:eastAsia="Calibri" w:hAnsi="Times New Roman" w:cs="Times New Roman"/>
          <w:sz w:val="24"/>
          <w:highlight w:val="yellow"/>
        </w:rPr>
        <w:t>ffordable</w:t>
      </w:r>
      <w:r>
        <w:rPr>
          <w:rFonts w:ascii="Times New Roman" w:eastAsia="Calibri" w:hAnsi="Times New Roman" w:cs="Times New Roman"/>
          <w:sz w:val="24"/>
        </w:rPr>
        <w:t xml:space="preserve"> HUD Assistance Properties in Terms of Transportation Costs</w:t>
      </w:r>
    </w:p>
    <w:tbl>
      <w:tblPr>
        <w:tblStyle w:val="TableGrid"/>
        <w:tblW w:w="9270" w:type="dxa"/>
        <w:tblInd w:w="148" w:type="dxa"/>
        <w:tblCellMar>
          <w:left w:w="58" w:type="dxa"/>
          <w:right w:w="58" w:type="dxa"/>
        </w:tblCellMar>
        <w:tblLook w:val="04A0" w:firstRow="1" w:lastRow="0" w:firstColumn="1" w:lastColumn="0" w:noHBand="0" w:noVBand="1"/>
      </w:tblPr>
      <w:tblGrid>
        <w:gridCol w:w="4003"/>
        <w:gridCol w:w="1937"/>
        <w:gridCol w:w="1663"/>
        <w:gridCol w:w="1667"/>
      </w:tblGrid>
      <w:tr w:rsidR="005930A6" w:rsidRPr="00525FAB" w:rsidTr="008525A6">
        <w:trPr>
          <w:trHeight w:val="300"/>
        </w:trPr>
        <w:tc>
          <w:tcPr>
            <w:tcW w:w="4003" w:type="dxa"/>
            <w:noWrap/>
          </w:tcPr>
          <w:p w:rsidR="005930A6" w:rsidRPr="00525FAB" w:rsidRDefault="005930A6" w:rsidP="008525A6">
            <w:pPr>
              <w:rPr>
                <w:rFonts w:ascii="Times New Roman" w:eastAsia="Times New Roman" w:hAnsi="Times New Roman" w:cs="Times New Roman"/>
                <w:color w:val="000000"/>
                <w:sz w:val="24"/>
                <w:szCs w:val="24"/>
              </w:rPr>
            </w:pPr>
            <w:r w:rsidRPr="00525FAB">
              <w:rPr>
                <w:rFonts w:ascii="Times New Roman" w:eastAsia="Times New Roman" w:hAnsi="Times New Roman" w:cs="Times New Roman"/>
                <w:color w:val="000000"/>
                <w:sz w:val="24"/>
                <w:szCs w:val="24"/>
              </w:rPr>
              <w:t>MSA name</w:t>
            </w:r>
          </w:p>
        </w:tc>
        <w:tc>
          <w:tcPr>
            <w:tcW w:w="1937" w:type="dxa"/>
            <w:noWrap/>
          </w:tcPr>
          <w:p w:rsidR="005930A6" w:rsidRPr="00525FAB" w:rsidRDefault="005930A6" w:rsidP="008525A6">
            <w:pPr>
              <w:jc w:val="right"/>
              <w:rPr>
                <w:rFonts w:ascii="Times New Roman" w:eastAsia="Times New Roman" w:hAnsi="Times New Roman" w:cs="Times New Roman"/>
                <w:color w:val="000000"/>
                <w:sz w:val="24"/>
                <w:szCs w:val="24"/>
              </w:rPr>
            </w:pPr>
            <w:r w:rsidRPr="00525FAB">
              <w:rPr>
                <w:rFonts w:ascii="Times New Roman" w:eastAsia="Times New Roman" w:hAnsi="Times New Roman" w:cs="Times New Roman"/>
                <w:color w:val="000000"/>
                <w:sz w:val="24"/>
                <w:szCs w:val="24"/>
              </w:rPr>
              <w:t xml:space="preserve">Number of </w:t>
            </w:r>
            <w:r>
              <w:rPr>
                <w:rFonts w:ascii="Times New Roman" w:eastAsia="Times New Roman" w:hAnsi="Times New Roman" w:cs="Times New Roman"/>
                <w:color w:val="000000"/>
                <w:sz w:val="24"/>
                <w:szCs w:val="24"/>
              </w:rPr>
              <w:t xml:space="preserve">affordable </w:t>
            </w:r>
            <w:r w:rsidRPr="00525FAB">
              <w:rPr>
                <w:rFonts w:ascii="Times New Roman" w:eastAsia="Times New Roman" w:hAnsi="Times New Roman" w:cs="Times New Roman"/>
                <w:color w:val="000000"/>
                <w:sz w:val="24"/>
                <w:szCs w:val="24"/>
              </w:rPr>
              <w:t>properties</w:t>
            </w:r>
          </w:p>
        </w:tc>
        <w:tc>
          <w:tcPr>
            <w:tcW w:w="1663" w:type="dxa"/>
          </w:tcPr>
          <w:p w:rsidR="005930A6" w:rsidRPr="00525FAB" w:rsidRDefault="005930A6" w:rsidP="008525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number of properties</w:t>
            </w:r>
          </w:p>
        </w:tc>
        <w:tc>
          <w:tcPr>
            <w:tcW w:w="1667" w:type="dxa"/>
          </w:tcPr>
          <w:p w:rsidR="005930A6" w:rsidRDefault="005930A6" w:rsidP="008525A6">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of properties affordable</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Memphis, TN-MS-AR</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59</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Jackson, MS</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31</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Greensboro-High Point, NC</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27</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Orlando-Kissimmee-Sanford, FL</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26</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Shreveport-Bossier City, LA</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25</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McAllen-Edinburg-Mission, TX</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24</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Beaumont-Port Arthur, TX</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21</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Chattanooga, TN-GA</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21</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Huntington-Ashland, WV-KY-OH</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21</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Hickory-Lenoir-Morganton, NC</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20</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Las Vegas-Paradise, NV</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20</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Fayetteville, NC</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19</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Wheeling, WV-OH</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15</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Flint, MI</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14</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r w:rsidR="005930A6" w:rsidRPr="00525FAB" w:rsidTr="008525A6">
        <w:trPr>
          <w:trHeight w:val="300"/>
        </w:trPr>
        <w:tc>
          <w:tcPr>
            <w:tcW w:w="4003" w:type="dxa"/>
            <w:noWrap/>
            <w:hideMark/>
          </w:tcPr>
          <w:p w:rsidR="005930A6" w:rsidRPr="002F22BC" w:rsidRDefault="005930A6" w:rsidP="008525A6">
            <w:pPr>
              <w:tabs>
                <w:tab w:val="left" w:pos="1033"/>
              </w:tabs>
              <w:jc w:val="both"/>
              <w:rPr>
                <w:rFonts w:ascii="Times New Roman" w:eastAsia="Calibri" w:hAnsi="Times New Roman" w:cs="Times New Roman"/>
                <w:sz w:val="24"/>
                <w:highlight w:val="yellow"/>
              </w:rPr>
            </w:pPr>
            <w:r w:rsidRPr="002F22BC">
              <w:rPr>
                <w:rFonts w:ascii="Times New Roman" w:eastAsia="Calibri" w:hAnsi="Times New Roman" w:cs="Times New Roman"/>
                <w:sz w:val="24"/>
                <w:highlight w:val="yellow"/>
              </w:rPr>
              <w:t>Palm Bay-Melbourne-Titusville, FL</w:t>
            </w:r>
          </w:p>
        </w:tc>
        <w:tc>
          <w:tcPr>
            <w:tcW w:w="1937" w:type="dxa"/>
            <w:noWrap/>
            <w:hideMark/>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c>
          <w:tcPr>
            <w:tcW w:w="1663"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13</w:t>
            </w:r>
          </w:p>
        </w:tc>
        <w:tc>
          <w:tcPr>
            <w:tcW w:w="1667"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0</w:t>
            </w:r>
          </w:p>
        </w:tc>
      </w:tr>
    </w:tbl>
    <w:p w:rsidR="005930A6" w:rsidRDefault="005930A6" w:rsidP="005930A6"/>
    <w:p w:rsidR="00C33192" w:rsidRDefault="00C33192"/>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9F38B4" w:rsidRDefault="009F38B4" w:rsidP="00C33192">
      <w:pPr>
        <w:spacing w:after="0" w:line="480" w:lineRule="auto"/>
        <w:rPr>
          <w:rFonts w:ascii="Times New Roman" w:eastAsia="Calibri" w:hAnsi="Times New Roman" w:cs="Times New Roman"/>
          <w:sz w:val="24"/>
        </w:rPr>
      </w:pPr>
    </w:p>
    <w:p w:rsidR="005930A6" w:rsidRDefault="005930A6" w:rsidP="005930A6">
      <w:pPr>
        <w:spacing w:after="0" w:line="480" w:lineRule="auto"/>
        <w:rPr>
          <w:rFonts w:ascii="Times New Roman" w:eastAsia="Calibri" w:hAnsi="Times New Roman" w:cs="Times New Roman"/>
          <w:sz w:val="24"/>
        </w:rPr>
      </w:pPr>
      <w:r>
        <w:rPr>
          <w:rFonts w:ascii="Times New Roman" w:eastAsia="Calibri" w:hAnsi="Times New Roman" w:cs="Times New Roman"/>
          <w:sz w:val="24"/>
        </w:rPr>
        <w:lastRenderedPageBreak/>
        <w:t>Table 11: Fifteen Metropolitan Areas with Highest number of affordable HUD assistance Properties in terms of transportation costs</w:t>
      </w:r>
    </w:p>
    <w:tbl>
      <w:tblPr>
        <w:tblStyle w:val="TableGrid"/>
        <w:tblW w:w="9378" w:type="dxa"/>
        <w:tblCellMar>
          <w:left w:w="58" w:type="dxa"/>
          <w:right w:w="58" w:type="dxa"/>
        </w:tblCellMar>
        <w:tblLook w:val="04A0" w:firstRow="1" w:lastRow="0" w:firstColumn="1" w:lastColumn="0" w:noHBand="0" w:noVBand="1"/>
      </w:tblPr>
      <w:tblGrid>
        <w:gridCol w:w="4828"/>
        <w:gridCol w:w="1350"/>
        <w:gridCol w:w="1530"/>
        <w:gridCol w:w="1670"/>
      </w:tblGrid>
      <w:tr w:rsidR="005930A6" w:rsidRPr="00525FAB"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MSA name</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Number of affordable properties</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Total number of properties</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 of properties affordable</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San Francisco-San Mateo-Redwood City, CA</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91</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91</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100</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Denver-Aurora-Broomfield, CO</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120</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121</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99.17</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Los Angeles-Long Beach-Glendale, CA</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465</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482</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96.47</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Washington-Arlington-Alexandria, DC-VA-MD-WV</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155</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164</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94.51</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Portland-Vancouver-Hillsboro, OR-WA</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98</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104</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94.23</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New York-White Plains-Wayne, NY-NJ</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413</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439</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94.08</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Oakland-Fremont-Hayward, CA</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92</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98</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93.88</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Minneapolis-St. Paul-Bloomington, MN-WI</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177</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189</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93.65</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Chicago-Joliet-Naperville, IL</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271</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297</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91.25</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Kansas City, MO-KS</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96</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114</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84.21</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Philadelphia, PA</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110</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137</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80.29</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Newark-Union, NJ-PA Metro</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89</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113</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78.76</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Milwaukee-Waukesha-West Allis, WI</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98</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125</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78.4</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Baltimore-Towson, MD</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91</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117</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77.78</w:t>
            </w:r>
          </w:p>
        </w:tc>
      </w:tr>
      <w:tr w:rsidR="005930A6" w:rsidRPr="002F22BC" w:rsidTr="008525A6">
        <w:trPr>
          <w:trHeight w:val="300"/>
        </w:trPr>
        <w:tc>
          <w:tcPr>
            <w:tcW w:w="4828" w:type="dxa"/>
            <w:noWrap/>
          </w:tcPr>
          <w:p w:rsidR="005930A6" w:rsidRPr="002F22BC" w:rsidRDefault="005930A6" w:rsidP="008525A6">
            <w:pPr>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Providence-New Bedford-Fall River, RI-MA</w:t>
            </w:r>
          </w:p>
        </w:tc>
        <w:tc>
          <w:tcPr>
            <w:tcW w:w="1350" w:type="dxa"/>
            <w:noWrap/>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95</w:t>
            </w:r>
          </w:p>
        </w:tc>
        <w:tc>
          <w:tcPr>
            <w:tcW w:w="153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146</w:t>
            </w:r>
          </w:p>
        </w:tc>
        <w:tc>
          <w:tcPr>
            <w:tcW w:w="1670" w:type="dxa"/>
          </w:tcPr>
          <w:p w:rsidR="005930A6" w:rsidRPr="002F22BC" w:rsidRDefault="005930A6" w:rsidP="008525A6">
            <w:pPr>
              <w:jc w:val="right"/>
              <w:rPr>
                <w:rFonts w:ascii="Times New Roman" w:eastAsia="Times New Roman" w:hAnsi="Times New Roman" w:cs="Times New Roman"/>
                <w:color w:val="000000"/>
                <w:sz w:val="24"/>
                <w:szCs w:val="24"/>
                <w:highlight w:val="yellow"/>
              </w:rPr>
            </w:pPr>
            <w:r w:rsidRPr="002F22BC">
              <w:rPr>
                <w:rFonts w:ascii="Times New Roman" w:eastAsia="Times New Roman" w:hAnsi="Times New Roman" w:cs="Times New Roman"/>
                <w:color w:val="000000"/>
                <w:sz w:val="24"/>
                <w:szCs w:val="24"/>
                <w:highlight w:val="yellow"/>
              </w:rPr>
              <w:t>65.07</w:t>
            </w:r>
          </w:p>
        </w:tc>
      </w:tr>
    </w:tbl>
    <w:p w:rsidR="00C33192" w:rsidRDefault="00C33192"/>
    <w:p w:rsidR="00737FEE" w:rsidRDefault="00737FEE"/>
    <w:p w:rsidR="00737FEE" w:rsidRDefault="00737FEE"/>
    <w:p w:rsidR="009F38B4" w:rsidRDefault="009F38B4" w:rsidP="00737FEE">
      <w:pPr>
        <w:spacing w:line="480" w:lineRule="auto"/>
        <w:rPr>
          <w:rFonts w:ascii="Times New Roman" w:eastAsia="Calibri" w:hAnsi="Times New Roman" w:cs="Times New Roman"/>
          <w:sz w:val="24"/>
        </w:rPr>
      </w:pPr>
    </w:p>
    <w:p w:rsidR="009F38B4" w:rsidRDefault="009F38B4" w:rsidP="00737FEE">
      <w:pPr>
        <w:spacing w:line="480" w:lineRule="auto"/>
        <w:rPr>
          <w:rFonts w:ascii="Times New Roman" w:eastAsia="Calibri" w:hAnsi="Times New Roman" w:cs="Times New Roman"/>
          <w:sz w:val="24"/>
        </w:rPr>
      </w:pPr>
    </w:p>
    <w:p w:rsidR="009F38B4" w:rsidRDefault="009F38B4" w:rsidP="00737FEE">
      <w:pPr>
        <w:spacing w:line="480" w:lineRule="auto"/>
        <w:rPr>
          <w:rFonts w:ascii="Times New Roman" w:eastAsia="Calibri" w:hAnsi="Times New Roman" w:cs="Times New Roman"/>
          <w:sz w:val="24"/>
        </w:rPr>
      </w:pPr>
    </w:p>
    <w:p w:rsidR="009F38B4" w:rsidRDefault="009F38B4" w:rsidP="00737FEE">
      <w:pPr>
        <w:spacing w:line="480" w:lineRule="auto"/>
        <w:rPr>
          <w:rFonts w:ascii="Times New Roman" w:eastAsia="Calibri" w:hAnsi="Times New Roman" w:cs="Times New Roman"/>
          <w:sz w:val="24"/>
        </w:rPr>
      </w:pPr>
    </w:p>
    <w:p w:rsidR="009F38B4" w:rsidRDefault="009F38B4" w:rsidP="009F38B4">
      <w:pPr>
        <w:pStyle w:val="Heading1"/>
      </w:pPr>
      <w:r>
        <w:lastRenderedPageBreak/>
        <w:t>List of Figures</w:t>
      </w:r>
    </w:p>
    <w:p w:rsidR="00737FEE" w:rsidRDefault="00737FEE" w:rsidP="00F61609">
      <w:pPr>
        <w:spacing w:before="240" w:after="0" w:line="480" w:lineRule="auto"/>
        <w:rPr>
          <w:rFonts w:ascii="Times New Roman" w:eastAsia="Calibri" w:hAnsi="Times New Roman" w:cs="Times New Roman"/>
          <w:sz w:val="24"/>
        </w:rPr>
      </w:pPr>
      <w:r>
        <w:rPr>
          <w:rFonts w:ascii="Times New Roman" w:eastAsia="Calibri" w:hAnsi="Times New Roman" w:cs="Times New Roman"/>
          <w:sz w:val="24"/>
        </w:rPr>
        <w:t>Figure 1</w:t>
      </w:r>
      <w:r w:rsidRPr="00D81CB3">
        <w:rPr>
          <w:rFonts w:ascii="Times New Roman" w:eastAsia="Calibri" w:hAnsi="Times New Roman" w:cs="Times New Roman"/>
          <w:sz w:val="24"/>
        </w:rPr>
        <w:t xml:space="preserve">. </w:t>
      </w:r>
      <w:r>
        <w:rPr>
          <w:rFonts w:ascii="Times New Roman" w:eastAsia="Calibri" w:hAnsi="Times New Roman" w:cs="Times New Roman"/>
          <w:sz w:val="24"/>
        </w:rPr>
        <w:t xml:space="preserve">Frequency distribution of predicted Transportation Affordability </w:t>
      </w:r>
      <w:r w:rsidRPr="00116979">
        <w:rPr>
          <w:rFonts w:ascii="Times New Roman" w:eastAsia="Calibri" w:hAnsi="Times New Roman" w:cs="Times New Roman"/>
          <w:sz w:val="24"/>
        </w:rPr>
        <w:t>(percentage of income spent for transportation costs)</w:t>
      </w:r>
    </w:p>
    <w:p w:rsidR="00737FEE" w:rsidRDefault="00737FEE" w:rsidP="00F61609">
      <w:pPr>
        <w:spacing w:before="240" w:after="0" w:line="480" w:lineRule="auto"/>
        <w:rPr>
          <w:rFonts w:ascii="Times New Roman" w:eastAsia="Calibri" w:hAnsi="Times New Roman" w:cs="Times New Roman"/>
          <w:sz w:val="24"/>
        </w:rPr>
      </w:pPr>
      <w:r>
        <w:rPr>
          <w:rFonts w:ascii="Times New Roman" w:eastAsia="Calibri" w:hAnsi="Times New Roman" w:cs="Times New Roman"/>
          <w:sz w:val="24"/>
        </w:rPr>
        <w:t>Figure 2</w:t>
      </w:r>
      <w:r w:rsidRPr="00D81CB3">
        <w:rPr>
          <w:rFonts w:ascii="Times New Roman" w:eastAsia="Calibri" w:hAnsi="Times New Roman" w:cs="Times New Roman"/>
          <w:sz w:val="24"/>
        </w:rPr>
        <w:t xml:space="preserve">. </w:t>
      </w:r>
      <w:r>
        <w:rPr>
          <w:rFonts w:ascii="Times New Roman" w:eastAsia="Calibri" w:hAnsi="Times New Roman" w:cs="Times New Roman"/>
          <w:sz w:val="24"/>
        </w:rPr>
        <w:t>Transportation affordability</w:t>
      </w:r>
      <w:r w:rsidRPr="005D1269">
        <w:rPr>
          <w:rFonts w:ascii="Times New Roman" w:eastAsia="Calibri" w:hAnsi="Times New Roman" w:cs="Times New Roman"/>
          <w:sz w:val="24"/>
        </w:rPr>
        <w:t xml:space="preserve"> for HUD multifamily properties in </w:t>
      </w:r>
      <w:r>
        <w:rPr>
          <w:rFonts w:ascii="Times New Roman" w:eastAsia="Calibri" w:hAnsi="Times New Roman" w:cs="Times New Roman"/>
          <w:sz w:val="24"/>
        </w:rPr>
        <w:t>U.S metropolitan areas (</w:t>
      </w:r>
      <w:r w:rsidRPr="00116979">
        <w:rPr>
          <w:rFonts w:ascii="Times New Roman" w:eastAsia="Calibri" w:hAnsi="Times New Roman" w:cs="Times New Roman"/>
          <w:sz w:val="24"/>
        </w:rPr>
        <w:t xml:space="preserve">The red color shows unaffordable properties </w:t>
      </w:r>
      <w:r>
        <w:rPr>
          <w:rFonts w:ascii="Times New Roman" w:eastAsia="Calibri" w:hAnsi="Times New Roman" w:cs="Times New Roman"/>
          <w:sz w:val="24"/>
        </w:rPr>
        <w:t xml:space="preserve"> and the orange</w:t>
      </w:r>
      <w:r w:rsidRPr="00116979">
        <w:rPr>
          <w:rFonts w:ascii="Times New Roman" w:eastAsia="Calibri" w:hAnsi="Times New Roman" w:cs="Times New Roman"/>
          <w:sz w:val="24"/>
        </w:rPr>
        <w:t xml:space="preserve"> color represents affordable properties where transportation costs are less than 15 percent of a typical low income households.</w:t>
      </w:r>
      <w:r>
        <w:rPr>
          <w:rFonts w:ascii="Times New Roman" w:eastAsia="Calibri" w:hAnsi="Times New Roman" w:cs="Times New Roman"/>
          <w:sz w:val="24"/>
        </w:rPr>
        <w:t>)</w:t>
      </w:r>
      <w:r w:rsidRPr="001E1968">
        <w:rPr>
          <w:rFonts w:ascii="Times New Roman" w:eastAsia="Calibri" w:hAnsi="Times New Roman" w:cs="Times New Roman"/>
          <w:noProof/>
          <w:sz w:val="24"/>
        </w:rPr>
        <w:t xml:space="preserve"> </w:t>
      </w:r>
    </w:p>
    <w:p w:rsidR="00737FEE" w:rsidRDefault="00737FEE" w:rsidP="00F61609">
      <w:pPr>
        <w:spacing w:before="240" w:after="0" w:line="480" w:lineRule="auto"/>
        <w:rPr>
          <w:rFonts w:ascii="Times New Roman" w:eastAsia="Calibri" w:hAnsi="Times New Roman" w:cs="Times New Roman"/>
          <w:sz w:val="24"/>
        </w:rPr>
      </w:pPr>
      <w:r>
        <w:rPr>
          <w:rFonts w:ascii="Times New Roman" w:eastAsia="Calibri" w:hAnsi="Times New Roman" w:cs="Times New Roman"/>
          <w:sz w:val="24"/>
        </w:rPr>
        <w:t>Figure 3</w:t>
      </w:r>
      <w:r w:rsidRPr="00D81CB3">
        <w:rPr>
          <w:rFonts w:ascii="Times New Roman" w:eastAsia="Calibri" w:hAnsi="Times New Roman" w:cs="Times New Roman"/>
          <w:sz w:val="24"/>
        </w:rPr>
        <w:t xml:space="preserve">. </w:t>
      </w:r>
      <w:r>
        <w:rPr>
          <w:rFonts w:ascii="Times New Roman" w:eastAsia="Calibri" w:hAnsi="Times New Roman" w:cs="Times New Roman"/>
          <w:sz w:val="24"/>
        </w:rPr>
        <w:t>Transportation affordability</w:t>
      </w:r>
      <w:r w:rsidRPr="005D1269">
        <w:rPr>
          <w:rFonts w:ascii="Times New Roman" w:eastAsia="Calibri" w:hAnsi="Times New Roman" w:cs="Times New Roman"/>
          <w:sz w:val="24"/>
        </w:rPr>
        <w:t xml:space="preserve"> for HUD multifamily properties in </w:t>
      </w:r>
      <w:r>
        <w:rPr>
          <w:rFonts w:ascii="Times New Roman" w:eastAsia="Calibri" w:hAnsi="Times New Roman" w:cs="Times New Roman"/>
          <w:sz w:val="24"/>
        </w:rPr>
        <w:t>New York (left) and Chicago (right)</w:t>
      </w:r>
    </w:p>
    <w:p w:rsidR="00737FEE" w:rsidRDefault="00737FEE" w:rsidP="00F61609">
      <w:pPr>
        <w:spacing w:before="240" w:after="0" w:line="480" w:lineRule="auto"/>
        <w:rPr>
          <w:rFonts w:ascii="Times New Roman" w:eastAsia="Calibri" w:hAnsi="Times New Roman" w:cs="Times New Roman"/>
          <w:sz w:val="24"/>
        </w:rPr>
      </w:pPr>
      <w:r>
        <w:rPr>
          <w:rFonts w:ascii="Times New Roman" w:eastAsia="Calibri" w:hAnsi="Times New Roman" w:cs="Times New Roman"/>
          <w:sz w:val="24"/>
        </w:rPr>
        <w:t>Figure 4</w:t>
      </w:r>
      <w:r w:rsidRPr="00D81CB3">
        <w:rPr>
          <w:rFonts w:ascii="Times New Roman" w:eastAsia="Calibri" w:hAnsi="Times New Roman" w:cs="Times New Roman"/>
          <w:sz w:val="24"/>
        </w:rPr>
        <w:t xml:space="preserve">. </w:t>
      </w:r>
      <w:r>
        <w:rPr>
          <w:rFonts w:ascii="Times New Roman" w:eastAsia="Calibri" w:hAnsi="Times New Roman" w:cs="Times New Roman"/>
          <w:sz w:val="24"/>
        </w:rPr>
        <w:t>Transportation affordability</w:t>
      </w:r>
      <w:r w:rsidRPr="005D1269">
        <w:rPr>
          <w:rFonts w:ascii="Times New Roman" w:eastAsia="Calibri" w:hAnsi="Times New Roman" w:cs="Times New Roman"/>
          <w:sz w:val="24"/>
        </w:rPr>
        <w:t xml:space="preserve"> for HUD multifamily properties in </w:t>
      </w:r>
      <w:r w:rsidR="005930A6" w:rsidRPr="002F22BC">
        <w:rPr>
          <w:rFonts w:ascii="Times New Roman" w:eastAsia="Calibri" w:hAnsi="Times New Roman" w:cs="Times New Roman"/>
          <w:sz w:val="24"/>
          <w:highlight w:val="yellow"/>
        </w:rPr>
        <w:t>Phoenix</w:t>
      </w:r>
      <w:r>
        <w:rPr>
          <w:rFonts w:ascii="Times New Roman" w:eastAsia="Calibri" w:hAnsi="Times New Roman" w:cs="Times New Roman"/>
          <w:sz w:val="24"/>
        </w:rPr>
        <w:t xml:space="preserve"> (left) and Detroit-Warren (right)</w:t>
      </w:r>
    </w:p>
    <w:p w:rsidR="00737FEE" w:rsidRDefault="00737FEE"/>
    <w:sectPr w:rsidR="00737FEE" w:rsidSect="00577E0B">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3D" w:rsidRDefault="001B5B3D" w:rsidP="00442098">
      <w:pPr>
        <w:spacing w:after="0" w:line="240" w:lineRule="auto"/>
      </w:pPr>
      <w:r>
        <w:separator/>
      </w:r>
    </w:p>
  </w:endnote>
  <w:endnote w:type="continuationSeparator" w:id="0">
    <w:p w:rsidR="001B5B3D" w:rsidRDefault="001B5B3D" w:rsidP="00442098">
      <w:pPr>
        <w:spacing w:after="0" w:line="240" w:lineRule="auto"/>
      </w:pPr>
      <w:r>
        <w:continuationSeparator/>
      </w:r>
    </w:p>
  </w:endnote>
  <w:endnote w:id="1">
    <w:p w:rsidR="00F10D68" w:rsidRDefault="00F10D68" w:rsidP="00FD75DF">
      <w:pPr>
        <w:pStyle w:val="EndnoteText"/>
      </w:pPr>
      <w:r>
        <w:rPr>
          <w:rStyle w:val="EndnoteReference"/>
        </w:rPr>
        <w:endnoteRef/>
      </w:r>
      <w:r>
        <w:t xml:space="preserve"> </w:t>
      </w:r>
      <w:hyperlink r:id="rId1" w:history="1">
        <w:r w:rsidRPr="00465D9A">
          <w:rPr>
            <w:rStyle w:val="Hyperlink"/>
          </w:rPr>
          <w:t>http://www.locationaffordability.info/</w:t>
        </w:r>
      </w:hyperlink>
      <w:r>
        <w:t xml:space="preserve"> Accessed January 5, 2015</w:t>
      </w:r>
      <w:r w:rsidRPr="00035E72">
        <w:t>.</w:t>
      </w:r>
    </w:p>
  </w:endnote>
  <w:endnote w:id="2">
    <w:p w:rsidR="00F10D68" w:rsidRDefault="00F10D68">
      <w:pPr>
        <w:pStyle w:val="EndnoteText"/>
      </w:pPr>
      <w:r>
        <w:rPr>
          <w:rStyle w:val="EndnoteReference"/>
        </w:rPr>
        <w:endnoteRef/>
      </w:r>
      <w:r>
        <w:t xml:space="preserve"> </w:t>
      </w:r>
      <w:hyperlink r:id="rId2" w:history="1">
        <w:r w:rsidRPr="00B91A6A">
          <w:rPr>
            <w:rStyle w:val="Hyperlink"/>
          </w:rPr>
          <w:t>http://www.edmunds.com/tco.html</w:t>
        </w:r>
      </w:hyperlink>
      <w:r>
        <w:t xml:space="preserve">  </w:t>
      </w:r>
      <w:r w:rsidRPr="00C65520">
        <w:t>Accessed January 5, 2015</w:t>
      </w:r>
      <w:r>
        <w:t xml:space="preserve">. </w:t>
      </w:r>
    </w:p>
  </w:endnote>
  <w:endnote w:id="3">
    <w:p w:rsidR="00F10D68" w:rsidRDefault="00F10D68" w:rsidP="00C33192">
      <w:pPr>
        <w:pStyle w:val="EndnoteText"/>
      </w:pPr>
      <w:r>
        <w:rPr>
          <w:rStyle w:val="EndnoteReference"/>
        </w:rPr>
        <w:endnoteRef/>
      </w:r>
      <w:r>
        <w:t xml:space="preserve"> </w:t>
      </w:r>
      <w:r w:rsidRPr="00C65520">
        <w:t xml:space="preserve">For more information on the regional sprawl index and how it is calculated, see Ewing et al. (2002), “Measuring Sprawl and Its Impacts,” available at </w:t>
      </w:r>
      <w:hyperlink r:id="rId3" w:history="1">
        <w:r w:rsidRPr="00C65520">
          <w:rPr>
            <w:rStyle w:val="Hyperlink"/>
          </w:rPr>
          <w:t>http://www.smartgrowthamerica.org/resources/measuring-sprawl-and-its-impact/</w:t>
        </w:r>
      </w:hyperlink>
      <w:r w:rsidRPr="00C6552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68" w:rsidRDefault="00F10D68" w:rsidP="00011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D68" w:rsidRDefault="00F10D68" w:rsidP="00526E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68" w:rsidRDefault="00F10D68" w:rsidP="00011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9BA">
      <w:rPr>
        <w:rStyle w:val="PageNumber"/>
        <w:noProof/>
      </w:rPr>
      <w:t>36</w:t>
    </w:r>
    <w:r>
      <w:rPr>
        <w:rStyle w:val="PageNumber"/>
      </w:rPr>
      <w:fldChar w:fldCharType="end"/>
    </w:r>
  </w:p>
  <w:p w:rsidR="00F10D68" w:rsidRDefault="00F10D68" w:rsidP="002C45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3D" w:rsidRDefault="001B5B3D" w:rsidP="00442098">
      <w:pPr>
        <w:spacing w:after="0" w:line="240" w:lineRule="auto"/>
      </w:pPr>
      <w:r>
        <w:separator/>
      </w:r>
    </w:p>
  </w:footnote>
  <w:footnote w:type="continuationSeparator" w:id="0">
    <w:p w:rsidR="001B5B3D" w:rsidRDefault="001B5B3D" w:rsidP="00442098">
      <w:pPr>
        <w:spacing w:after="0" w:line="240" w:lineRule="auto"/>
      </w:pPr>
      <w:r>
        <w:continuationSeparator/>
      </w:r>
    </w:p>
  </w:footnote>
  <w:footnote w:id="1">
    <w:p w:rsidR="00F10D68" w:rsidRPr="00C22B47" w:rsidRDefault="00F10D68" w:rsidP="00C22B47">
      <w:pPr>
        <w:pStyle w:val="FootnoteText"/>
        <w:rPr>
          <w:highlight w:val="yellow"/>
        </w:rPr>
      </w:pPr>
      <w:r w:rsidRPr="00C22B47">
        <w:rPr>
          <w:rStyle w:val="FootnoteReference"/>
          <w:highlight w:val="yellow"/>
        </w:rPr>
        <w:footnoteRef/>
      </w:r>
      <w:r w:rsidRPr="00C22B47">
        <w:rPr>
          <w:highlight w:val="yellow"/>
        </w:rPr>
        <w:t xml:space="preserve"> HUD’s adjusted income, as defined in 24 CFR 5.611, means a family's annual income minus a number of mandatory deductions. The mandatory deductions include amounts for: dependents; status as an elderly or disabled family; unreimbursed childcare expenses; unreimbursed medical expenses (elderly/disabled family only);</w:t>
      </w:r>
    </w:p>
    <w:p w:rsidR="00F10D68" w:rsidRDefault="00F10D68" w:rsidP="00C22B47">
      <w:pPr>
        <w:pStyle w:val="FootnoteText"/>
      </w:pPr>
      <w:r w:rsidRPr="00C22B47">
        <w:rPr>
          <w:highlight w:val="yellow"/>
        </w:rPr>
        <w:t>unreimbursed disability assistance expenses.</w:t>
      </w:r>
    </w:p>
  </w:footnote>
  <w:footnote w:id="2">
    <w:p w:rsidR="00F10D68" w:rsidRDefault="00F10D68">
      <w:pPr>
        <w:pStyle w:val="FootnoteText"/>
      </w:pPr>
      <w:r w:rsidRPr="00E97B82">
        <w:rPr>
          <w:rStyle w:val="FootnoteReference"/>
          <w:highlight w:val="yellow"/>
        </w:rPr>
        <w:footnoteRef/>
      </w:r>
      <w:r w:rsidRPr="00E97B82">
        <w:rPr>
          <w:highlight w:val="yellow"/>
        </w:rPr>
        <w:t xml:space="preserve"> A proposed regulation would require program participants to analyze transit access data in pursuit of fair housing goals.  http://www.huduser.org/portal/affht_pt.html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A04AA"/>
    <w:multiLevelType w:val="hybridMultilevel"/>
    <w:tmpl w:val="6E5AFD74"/>
    <w:lvl w:ilvl="0" w:tplc="5B7AE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7B"/>
    <w:rsid w:val="0001174B"/>
    <w:rsid w:val="000134FB"/>
    <w:rsid w:val="0002249E"/>
    <w:rsid w:val="00040F08"/>
    <w:rsid w:val="00044933"/>
    <w:rsid w:val="000740CD"/>
    <w:rsid w:val="000778BD"/>
    <w:rsid w:val="00080890"/>
    <w:rsid w:val="00080D0A"/>
    <w:rsid w:val="00083781"/>
    <w:rsid w:val="000B718A"/>
    <w:rsid w:val="000D4CE3"/>
    <w:rsid w:val="000E075F"/>
    <w:rsid w:val="000E7A8B"/>
    <w:rsid w:val="000F23E7"/>
    <w:rsid w:val="00102889"/>
    <w:rsid w:val="00114FB6"/>
    <w:rsid w:val="00116979"/>
    <w:rsid w:val="00155EE1"/>
    <w:rsid w:val="0016546F"/>
    <w:rsid w:val="001868AE"/>
    <w:rsid w:val="001B5B3D"/>
    <w:rsid w:val="001B67AA"/>
    <w:rsid w:val="001C2E90"/>
    <w:rsid w:val="001D1BD2"/>
    <w:rsid w:val="001D69C6"/>
    <w:rsid w:val="001E1760"/>
    <w:rsid w:val="001E1968"/>
    <w:rsid w:val="00204DE0"/>
    <w:rsid w:val="00205736"/>
    <w:rsid w:val="0022115E"/>
    <w:rsid w:val="002411CE"/>
    <w:rsid w:val="0026454C"/>
    <w:rsid w:val="002709A0"/>
    <w:rsid w:val="002714F9"/>
    <w:rsid w:val="00285C99"/>
    <w:rsid w:val="002A1315"/>
    <w:rsid w:val="002B1431"/>
    <w:rsid w:val="002B3087"/>
    <w:rsid w:val="002B69C2"/>
    <w:rsid w:val="002C45F8"/>
    <w:rsid w:val="002C5881"/>
    <w:rsid w:val="002D39BC"/>
    <w:rsid w:val="00301B9C"/>
    <w:rsid w:val="00350F3B"/>
    <w:rsid w:val="003B5B86"/>
    <w:rsid w:val="003E2541"/>
    <w:rsid w:val="003F43EC"/>
    <w:rsid w:val="00411AB7"/>
    <w:rsid w:val="00415ECB"/>
    <w:rsid w:val="00441A9C"/>
    <w:rsid w:val="00441EFD"/>
    <w:rsid w:val="00442098"/>
    <w:rsid w:val="004568F3"/>
    <w:rsid w:val="004B6960"/>
    <w:rsid w:val="004D49BA"/>
    <w:rsid w:val="004D7764"/>
    <w:rsid w:val="004E47EC"/>
    <w:rsid w:val="00517A82"/>
    <w:rsid w:val="00523C30"/>
    <w:rsid w:val="00525FAB"/>
    <w:rsid w:val="00526E9B"/>
    <w:rsid w:val="00534B2E"/>
    <w:rsid w:val="00577E0B"/>
    <w:rsid w:val="005930A6"/>
    <w:rsid w:val="005B1EEC"/>
    <w:rsid w:val="005B3E53"/>
    <w:rsid w:val="005C027E"/>
    <w:rsid w:val="005D1269"/>
    <w:rsid w:val="005D73AE"/>
    <w:rsid w:val="005E620E"/>
    <w:rsid w:val="0062712B"/>
    <w:rsid w:val="00631DE7"/>
    <w:rsid w:val="00654F94"/>
    <w:rsid w:val="00661AC3"/>
    <w:rsid w:val="00676669"/>
    <w:rsid w:val="00677E34"/>
    <w:rsid w:val="006838CC"/>
    <w:rsid w:val="006A39D1"/>
    <w:rsid w:val="006A5E1A"/>
    <w:rsid w:val="006B1E4C"/>
    <w:rsid w:val="006B7208"/>
    <w:rsid w:val="006C3123"/>
    <w:rsid w:val="006C5986"/>
    <w:rsid w:val="006D0799"/>
    <w:rsid w:val="006E403C"/>
    <w:rsid w:val="006F52CF"/>
    <w:rsid w:val="00700F16"/>
    <w:rsid w:val="0071026C"/>
    <w:rsid w:val="007137CE"/>
    <w:rsid w:val="00722EAA"/>
    <w:rsid w:val="00737FEE"/>
    <w:rsid w:val="00751FB0"/>
    <w:rsid w:val="00760FB5"/>
    <w:rsid w:val="00763834"/>
    <w:rsid w:val="007679B2"/>
    <w:rsid w:val="0077427A"/>
    <w:rsid w:val="007858D1"/>
    <w:rsid w:val="00785C95"/>
    <w:rsid w:val="00795E35"/>
    <w:rsid w:val="007A6116"/>
    <w:rsid w:val="007C047B"/>
    <w:rsid w:val="007C2B06"/>
    <w:rsid w:val="007D5B01"/>
    <w:rsid w:val="007D5D17"/>
    <w:rsid w:val="0081257A"/>
    <w:rsid w:val="008133CF"/>
    <w:rsid w:val="00832554"/>
    <w:rsid w:val="008552A6"/>
    <w:rsid w:val="008654C9"/>
    <w:rsid w:val="00871163"/>
    <w:rsid w:val="0088622C"/>
    <w:rsid w:val="008B53C4"/>
    <w:rsid w:val="008B59C3"/>
    <w:rsid w:val="008D1AFA"/>
    <w:rsid w:val="008D6FC2"/>
    <w:rsid w:val="0090306F"/>
    <w:rsid w:val="00954252"/>
    <w:rsid w:val="00956715"/>
    <w:rsid w:val="00967046"/>
    <w:rsid w:val="009848AC"/>
    <w:rsid w:val="009A585B"/>
    <w:rsid w:val="009A5CED"/>
    <w:rsid w:val="009A7F43"/>
    <w:rsid w:val="009F38B4"/>
    <w:rsid w:val="00A42FAD"/>
    <w:rsid w:val="00A52C32"/>
    <w:rsid w:val="00A52D48"/>
    <w:rsid w:val="00A52D7C"/>
    <w:rsid w:val="00A733F6"/>
    <w:rsid w:val="00A76ABF"/>
    <w:rsid w:val="00A76D47"/>
    <w:rsid w:val="00AA2DDD"/>
    <w:rsid w:val="00AA7A2F"/>
    <w:rsid w:val="00AB37D7"/>
    <w:rsid w:val="00AB5420"/>
    <w:rsid w:val="00AC214E"/>
    <w:rsid w:val="00AD37FF"/>
    <w:rsid w:val="00AD415F"/>
    <w:rsid w:val="00AF145A"/>
    <w:rsid w:val="00AF5EA3"/>
    <w:rsid w:val="00B258E9"/>
    <w:rsid w:val="00B331C3"/>
    <w:rsid w:val="00B40E07"/>
    <w:rsid w:val="00B54CE6"/>
    <w:rsid w:val="00B72DC9"/>
    <w:rsid w:val="00B86FE5"/>
    <w:rsid w:val="00B96673"/>
    <w:rsid w:val="00BF52C1"/>
    <w:rsid w:val="00C04A58"/>
    <w:rsid w:val="00C0600F"/>
    <w:rsid w:val="00C16DD7"/>
    <w:rsid w:val="00C22B47"/>
    <w:rsid w:val="00C22D9C"/>
    <w:rsid w:val="00C27B3E"/>
    <w:rsid w:val="00C33192"/>
    <w:rsid w:val="00C54297"/>
    <w:rsid w:val="00C5581E"/>
    <w:rsid w:val="00C606E3"/>
    <w:rsid w:val="00C65520"/>
    <w:rsid w:val="00C91C6A"/>
    <w:rsid w:val="00CC5FCD"/>
    <w:rsid w:val="00CF1866"/>
    <w:rsid w:val="00CF49D9"/>
    <w:rsid w:val="00CF52E5"/>
    <w:rsid w:val="00D05438"/>
    <w:rsid w:val="00D06DDA"/>
    <w:rsid w:val="00D11E6A"/>
    <w:rsid w:val="00D1491B"/>
    <w:rsid w:val="00D22974"/>
    <w:rsid w:val="00D37430"/>
    <w:rsid w:val="00D530BC"/>
    <w:rsid w:val="00D64E46"/>
    <w:rsid w:val="00D81CB3"/>
    <w:rsid w:val="00D86438"/>
    <w:rsid w:val="00DD313F"/>
    <w:rsid w:val="00DD66B8"/>
    <w:rsid w:val="00DE6AF6"/>
    <w:rsid w:val="00DF75E5"/>
    <w:rsid w:val="00E03CDC"/>
    <w:rsid w:val="00E41493"/>
    <w:rsid w:val="00E74916"/>
    <w:rsid w:val="00E81909"/>
    <w:rsid w:val="00E85171"/>
    <w:rsid w:val="00E92C7E"/>
    <w:rsid w:val="00E97B82"/>
    <w:rsid w:val="00EB2BA7"/>
    <w:rsid w:val="00EB4F0F"/>
    <w:rsid w:val="00ED57CE"/>
    <w:rsid w:val="00ED7910"/>
    <w:rsid w:val="00F10D68"/>
    <w:rsid w:val="00F4755D"/>
    <w:rsid w:val="00F61609"/>
    <w:rsid w:val="00F75FD7"/>
    <w:rsid w:val="00F80B95"/>
    <w:rsid w:val="00F91104"/>
    <w:rsid w:val="00F9778A"/>
    <w:rsid w:val="00FA0DF0"/>
    <w:rsid w:val="00FB663A"/>
    <w:rsid w:val="00FB7331"/>
    <w:rsid w:val="00FD75DF"/>
    <w:rsid w:val="00FE7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3DD7BA-A31F-4016-A0C8-5AE54418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68AE"/>
    <w:pPr>
      <w:keepNext/>
      <w:keepLines/>
      <w:spacing w:before="48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868AE"/>
    <w:pPr>
      <w:keepNext/>
      <w:keepLines/>
      <w:spacing w:before="200" w:after="120"/>
      <w:outlineLvl w:val="1"/>
    </w:pPr>
    <w:rPr>
      <w:rFonts w:ascii="Times New Roman" w:eastAsiaTheme="majorEastAsia" w:hAnsi="Times New Roman" w:cstheme="majorBidi"/>
      <w:b/>
      <w:bCs/>
      <w:i/>
      <w:sz w:val="24"/>
      <w:szCs w:val="26"/>
    </w:rPr>
  </w:style>
  <w:style w:type="paragraph" w:styleId="Heading3">
    <w:name w:val="heading 3"/>
    <w:basedOn w:val="Normal"/>
    <w:next w:val="Normal"/>
    <w:link w:val="Heading3Char"/>
    <w:uiPriority w:val="9"/>
    <w:unhideWhenUsed/>
    <w:qFormat/>
    <w:rsid w:val="007679B2"/>
    <w:pPr>
      <w:keepNext/>
      <w:keepLines/>
      <w:spacing w:before="200" w:after="0"/>
      <w:outlineLvl w:val="2"/>
    </w:pPr>
    <w:rPr>
      <w:rFonts w:asciiTheme="majorHAnsi" w:eastAsiaTheme="majorEastAsia" w:hAnsiTheme="majorHAnsi"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86438"/>
    <w:pP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rsid w:val="00D86438"/>
    <w:rPr>
      <w:rFonts w:ascii="Times New Roman" w:eastAsiaTheme="majorEastAsia" w:hAnsi="Times New Roman"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68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868AE"/>
    <w:rPr>
      <w:rFonts w:ascii="Times New Roman" w:eastAsiaTheme="majorEastAsia" w:hAnsi="Times New Roman" w:cstheme="majorBidi"/>
      <w:b/>
      <w:bCs/>
      <w:i/>
      <w:sz w:val="24"/>
      <w:szCs w:val="26"/>
    </w:rPr>
  </w:style>
  <w:style w:type="character" w:styleId="Hyperlink">
    <w:name w:val="Hyperlink"/>
    <w:basedOn w:val="DefaultParagraphFont"/>
    <w:uiPriority w:val="99"/>
    <w:unhideWhenUsed/>
    <w:rsid w:val="00442098"/>
    <w:rPr>
      <w:color w:val="0000FF"/>
      <w:u w:val="single"/>
    </w:rPr>
  </w:style>
  <w:style w:type="paragraph" w:styleId="EndnoteText">
    <w:name w:val="endnote text"/>
    <w:basedOn w:val="Normal"/>
    <w:link w:val="EndnoteTextChar"/>
    <w:uiPriority w:val="99"/>
    <w:semiHidden/>
    <w:unhideWhenUsed/>
    <w:rsid w:val="00442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2098"/>
    <w:rPr>
      <w:sz w:val="20"/>
      <w:szCs w:val="20"/>
    </w:rPr>
  </w:style>
  <w:style w:type="character" w:styleId="EndnoteReference">
    <w:name w:val="endnote reference"/>
    <w:basedOn w:val="DefaultParagraphFont"/>
    <w:uiPriority w:val="99"/>
    <w:semiHidden/>
    <w:unhideWhenUsed/>
    <w:rsid w:val="00442098"/>
    <w:rPr>
      <w:vertAlign w:val="superscript"/>
    </w:rPr>
  </w:style>
  <w:style w:type="character" w:customStyle="1" w:styleId="Heading3Char">
    <w:name w:val="Heading 3 Char"/>
    <w:basedOn w:val="DefaultParagraphFont"/>
    <w:link w:val="Heading3"/>
    <w:uiPriority w:val="9"/>
    <w:rsid w:val="007679B2"/>
    <w:rPr>
      <w:rFonts w:asciiTheme="majorHAnsi" w:eastAsiaTheme="majorEastAsia" w:hAnsiTheme="majorHAnsi" w:cstheme="majorBidi"/>
      <w:bCs/>
      <w:i/>
      <w:sz w:val="24"/>
    </w:rPr>
  </w:style>
  <w:style w:type="paragraph" w:styleId="FootnoteText">
    <w:name w:val="footnote text"/>
    <w:basedOn w:val="Normal"/>
    <w:link w:val="FootnoteTextChar"/>
    <w:uiPriority w:val="99"/>
    <w:semiHidden/>
    <w:unhideWhenUsed/>
    <w:rsid w:val="00763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834"/>
    <w:rPr>
      <w:sz w:val="20"/>
      <w:szCs w:val="20"/>
    </w:rPr>
  </w:style>
  <w:style w:type="character" w:styleId="FootnoteReference">
    <w:name w:val="footnote reference"/>
    <w:semiHidden/>
    <w:rsid w:val="00763834"/>
    <w:rPr>
      <w:vertAlign w:val="superscript"/>
    </w:rPr>
  </w:style>
  <w:style w:type="paragraph" w:styleId="BalloonText">
    <w:name w:val="Balloon Text"/>
    <w:basedOn w:val="Normal"/>
    <w:link w:val="BalloonTextChar"/>
    <w:uiPriority w:val="99"/>
    <w:semiHidden/>
    <w:unhideWhenUsed/>
    <w:rsid w:val="006E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3C"/>
    <w:rPr>
      <w:rFonts w:ascii="Tahoma" w:hAnsi="Tahoma" w:cs="Tahoma"/>
      <w:sz w:val="16"/>
      <w:szCs w:val="16"/>
    </w:rPr>
  </w:style>
  <w:style w:type="table" w:styleId="TableGrid">
    <w:name w:val="Table Grid"/>
    <w:basedOn w:val="TableNormal"/>
    <w:uiPriority w:val="59"/>
    <w:rsid w:val="003B5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BHeader1">
    <w:name w:val="TRB Header 1"/>
    <w:basedOn w:val="Normal"/>
    <w:link w:val="TRBHeader1Char"/>
    <w:qFormat/>
    <w:rsid w:val="00301B9C"/>
    <w:rPr>
      <w:rFonts w:ascii="Times New Roman Bold" w:hAnsi="Times New Roman Bold" w:cs="Times New Roman"/>
      <w:b/>
      <w:caps/>
      <w:sz w:val="24"/>
    </w:rPr>
  </w:style>
  <w:style w:type="character" w:customStyle="1" w:styleId="TRBHeader1Char">
    <w:name w:val="TRB Header 1 Char"/>
    <w:basedOn w:val="DefaultParagraphFont"/>
    <w:link w:val="TRBHeader1"/>
    <w:rsid w:val="00301B9C"/>
    <w:rPr>
      <w:rFonts w:ascii="Times New Roman Bold" w:hAnsi="Times New Roman Bold" w:cs="Times New Roman"/>
      <w:b/>
      <w:caps/>
      <w:sz w:val="24"/>
    </w:rPr>
  </w:style>
  <w:style w:type="paragraph" w:styleId="NormalWeb">
    <w:name w:val="Normal (Web)"/>
    <w:basedOn w:val="Normal"/>
    <w:uiPriority w:val="99"/>
    <w:semiHidden/>
    <w:unhideWhenUsed/>
    <w:rsid w:val="00441EF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41EFD"/>
    <w:rPr>
      <w:sz w:val="18"/>
      <w:szCs w:val="18"/>
    </w:rPr>
  </w:style>
  <w:style w:type="paragraph" w:styleId="CommentText">
    <w:name w:val="annotation text"/>
    <w:basedOn w:val="Normal"/>
    <w:link w:val="CommentTextChar"/>
    <w:uiPriority w:val="99"/>
    <w:semiHidden/>
    <w:unhideWhenUsed/>
    <w:rsid w:val="00441EFD"/>
    <w:pPr>
      <w:spacing w:line="240" w:lineRule="auto"/>
    </w:pPr>
    <w:rPr>
      <w:sz w:val="24"/>
      <w:szCs w:val="24"/>
    </w:rPr>
  </w:style>
  <w:style w:type="character" w:customStyle="1" w:styleId="CommentTextChar">
    <w:name w:val="Comment Text Char"/>
    <w:basedOn w:val="DefaultParagraphFont"/>
    <w:link w:val="CommentText"/>
    <w:uiPriority w:val="99"/>
    <w:semiHidden/>
    <w:rsid w:val="00441EFD"/>
    <w:rPr>
      <w:sz w:val="24"/>
      <w:szCs w:val="24"/>
    </w:rPr>
  </w:style>
  <w:style w:type="paragraph" w:styleId="CommentSubject">
    <w:name w:val="annotation subject"/>
    <w:basedOn w:val="CommentText"/>
    <w:next w:val="CommentText"/>
    <w:link w:val="CommentSubjectChar"/>
    <w:uiPriority w:val="99"/>
    <w:semiHidden/>
    <w:unhideWhenUsed/>
    <w:rsid w:val="00441EFD"/>
    <w:rPr>
      <w:b/>
      <w:bCs/>
      <w:sz w:val="20"/>
      <w:szCs w:val="20"/>
    </w:rPr>
  </w:style>
  <w:style w:type="character" w:customStyle="1" w:styleId="CommentSubjectChar">
    <w:name w:val="Comment Subject Char"/>
    <w:basedOn w:val="CommentTextChar"/>
    <w:link w:val="CommentSubject"/>
    <w:uiPriority w:val="99"/>
    <w:semiHidden/>
    <w:rsid w:val="00441EFD"/>
    <w:rPr>
      <w:b/>
      <w:bCs/>
      <w:sz w:val="20"/>
      <w:szCs w:val="20"/>
    </w:rPr>
  </w:style>
  <w:style w:type="paragraph" w:styleId="Footer">
    <w:name w:val="footer"/>
    <w:basedOn w:val="Normal"/>
    <w:link w:val="FooterChar"/>
    <w:uiPriority w:val="99"/>
    <w:unhideWhenUsed/>
    <w:rsid w:val="006D07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0799"/>
  </w:style>
  <w:style w:type="character" w:styleId="PageNumber">
    <w:name w:val="page number"/>
    <w:basedOn w:val="DefaultParagraphFont"/>
    <w:uiPriority w:val="99"/>
    <w:semiHidden/>
    <w:unhideWhenUsed/>
    <w:rsid w:val="006D0799"/>
  </w:style>
  <w:style w:type="paragraph" w:styleId="Header">
    <w:name w:val="header"/>
    <w:basedOn w:val="Normal"/>
    <w:link w:val="HeaderChar"/>
    <w:uiPriority w:val="99"/>
    <w:unhideWhenUsed/>
    <w:rsid w:val="002C4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5F8"/>
  </w:style>
  <w:style w:type="paragraph" w:styleId="Revision">
    <w:name w:val="Revision"/>
    <w:hidden/>
    <w:uiPriority w:val="99"/>
    <w:semiHidden/>
    <w:rsid w:val="001E1968"/>
    <w:pPr>
      <w:spacing w:after="0" w:line="240" w:lineRule="auto"/>
    </w:pPr>
  </w:style>
  <w:style w:type="paragraph" w:customStyle="1" w:styleId="HeadingJP">
    <w:name w:val="Heading JP"/>
    <w:basedOn w:val="Normal"/>
    <w:link w:val="HeadingJPChar"/>
    <w:qFormat/>
    <w:rsid w:val="00C27B3E"/>
    <w:pPr>
      <w:spacing w:after="240" w:line="240" w:lineRule="auto"/>
    </w:pPr>
    <w:rPr>
      <w:rFonts w:ascii="Cambria" w:eastAsia="Malgun Gothic" w:hAnsi="Cambria" w:cs="Times New Roman"/>
      <w:b/>
      <w:bCs/>
      <w:color w:val="365F91"/>
      <w:sz w:val="28"/>
      <w:szCs w:val="28"/>
      <w:lang w:val="x-none" w:eastAsia="x-none"/>
    </w:rPr>
  </w:style>
  <w:style w:type="character" w:customStyle="1" w:styleId="HeadingJPChar">
    <w:name w:val="Heading JP Char"/>
    <w:link w:val="HeadingJP"/>
    <w:rsid w:val="00C27B3E"/>
    <w:rPr>
      <w:rFonts w:ascii="Cambria" w:eastAsia="Malgun Gothic" w:hAnsi="Cambria" w:cs="Times New Roman"/>
      <w:b/>
      <w:bCs/>
      <w:color w:val="365F91"/>
      <w:sz w:val="28"/>
      <w:szCs w:val="28"/>
      <w:lang w:val="x-none" w:eastAsia="x-none"/>
    </w:rPr>
  </w:style>
  <w:style w:type="character" w:customStyle="1" w:styleId="apple-converted-space">
    <w:name w:val="apple-converted-space"/>
    <w:basedOn w:val="DefaultParagraphFont"/>
    <w:rsid w:val="00654F94"/>
  </w:style>
  <w:style w:type="paragraph" w:styleId="PlainText">
    <w:name w:val="Plain Text"/>
    <w:basedOn w:val="Normal"/>
    <w:link w:val="PlainTextChar"/>
    <w:rsid w:val="004E47EC"/>
    <w:pPr>
      <w:overflowPunct w:val="0"/>
      <w:autoSpaceDE w:val="0"/>
      <w:autoSpaceDN w:val="0"/>
      <w:adjustRightInd w:val="0"/>
      <w:spacing w:after="0" w:line="240" w:lineRule="auto"/>
      <w:textAlignment w:val="baseline"/>
    </w:pPr>
    <w:rPr>
      <w:rFonts w:ascii="Courier New" w:eastAsia="Malgun Gothic" w:hAnsi="Courier New" w:cs="Times New Roman"/>
      <w:sz w:val="20"/>
      <w:szCs w:val="20"/>
    </w:rPr>
  </w:style>
  <w:style w:type="character" w:customStyle="1" w:styleId="PlainTextChar">
    <w:name w:val="Plain Text Char"/>
    <w:basedOn w:val="DefaultParagraphFont"/>
    <w:link w:val="PlainText"/>
    <w:rsid w:val="004E47EC"/>
    <w:rPr>
      <w:rFonts w:ascii="Courier New" w:eastAsia="Malgun Gothic" w:hAnsi="Courier New" w:cs="Times New Roman"/>
      <w:sz w:val="20"/>
      <w:szCs w:val="20"/>
    </w:rPr>
  </w:style>
  <w:style w:type="character" w:styleId="Strong">
    <w:name w:val="Strong"/>
    <w:basedOn w:val="DefaultParagraphFont"/>
    <w:uiPriority w:val="22"/>
    <w:qFormat/>
    <w:rsid w:val="00E97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109">
      <w:bodyDiv w:val="1"/>
      <w:marLeft w:val="0"/>
      <w:marRight w:val="0"/>
      <w:marTop w:val="0"/>
      <w:marBottom w:val="0"/>
      <w:divBdr>
        <w:top w:val="none" w:sz="0" w:space="0" w:color="auto"/>
        <w:left w:val="none" w:sz="0" w:space="0" w:color="auto"/>
        <w:bottom w:val="none" w:sz="0" w:space="0" w:color="auto"/>
        <w:right w:val="none" w:sz="0" w:space="0" w:color="auto"/>
      </w:divBdr>
    </w:div>
    <w:div w:id="1176001582">
      <w:bodyDiv w:val="1"/>
      <w:marLeft w:val="0"/>
      <w:marRight w:val="0"/>
      <w:marTop w:val="0"/>
      <w:marBottom w:val="0"/>
      <w:divBdr>
        <w:top w:val="none" w:sz="0" w:space="0" w:color="auto"/>
        <w:left w:val="none" w:sz="0" w:space="0" w:color="auto"/>
        <w:bottom w:val="none" w:sz="0" w:space="0" w:color="auto"/>
        <w:right w:val="none" w:sz="0" w:space="0" w:color="auto"/>
      </w:divBdr>
      <w:divsChild>
        <w:div w:id="834880605">
          <w:marLeft w:val="0"/>
          <w:marRight w:val="0"/>
          <w:marTop w:val="0"/>
          <w:marBottom w:val="0"/>
          <w:divBdr>
            <w:top w:val="none" w:sz="0" w:space="0" w:color="auto"/>
            <w:left w:val="none" w:sz="0" w:space="0" w:color="auto"/>
            <w:bottom w:val="none" w:sz="0" w:space="0" w:color="auto"/>
            <w:right w:val="none" w:sz="0" w:space="0" w:color="auto"/>
          </w:divBdr>
          <w:divsChild>
            <w:div w:id="1489203709">
              <w:marLeft w:val="0"/>
              <w:marRight w:val="0"/>
              <w:marTop w:val="0"/>
              <w:marBottom w:val="0"/>
              <w:divBdr>
                <w:top w:val="none" w:sz="0" w:space="0" w:color="auto"/>
                <w:left w:val="none" w:sz="0" w:space="0" w:color="auto"/>
                <w:bottom w:val="none" w:sz="0" w:space="0" w:color="auto"/>
                <w:right w:val="none" w:sz="0" w:space="0" w:color="auto"/>
              </w:divBdr>
              <w:divsChild>
                <w:div w:id="1943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36192091200051X" TargetMode="External"/><Relationship Id="rId13" Type="http://schemas.openxmlformats.org/officeDocument/2006/relationships/hyperlink" Target="http://www.jchs.harv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article/pii/S136192091200051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136192091200051X" TargetMode="External"/><Relationship Id="rId5" Type="http://schemas.openxmlformats.org/officeDocument/2006/relationships/webSettings" Target="webSettings.xml"/><Relationship Id="rId15" Type="http://schemas.openxmlformats.org/officeDocument/2006/relationships/hyperlink" Target="http://www.ejtir.tudelft.nl/issues/2001_02/abstracts/2001_02_01.asp" TargetMode="External"/><Relationship Id="rId10" Type="http://schemas.openxmlformats.org/officeDocument/2006/relationships/hyperlink" Target="http://www.sciencedirect.com/science/article/pii/S136192091200051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direct.com/science/article/pii/S136192091200051X" TargetMode="External"/><Relationship Id="rId14" Type="http://schemas.openxmlformats.org/officeDocument/2006/relationships/hyperlink" Target="http://gis.cancer.gov/tools/urban-spraw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smartgrowthamerica.org/resources/measuring-sprawl-and-its-impact/" TargetMode="External"/><Relationship Id="rId2" Type="http://schemas.openxmlformats.org/officeDocument/2006/relationships/hyperlink" Target="http://www.edmunds.com/tco.html" TargetMode="External"/><Relationship Id="rId1" Type="http://schemas.openxmlformats.org/officeDocument/2006/relationships/hyperlink" Target="http://www.locationaffordabilit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F03D-DBB2-4094-9BB8-2B28EAB6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9436</Words>
  <Characters>53788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 Hamidi</dc:creator>
  <cp:lastModifiedBy>Jeff L</cp:lastModifiedBy>
  <cp:revision>3</cp:revision>
  <dcterms:created xsi:type="dcterms:W3CDTF">2015-06-18T17:34:00Z</dcterms:created>
  <dcterms:modified xsi:type="dcterms:W3CDTF">2015-06-18T21:24:00Z</dcterms:modified>
</cp:coreProperties>
</file>