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CD5B6D" w14:textId="6B9150C6" w:rsidR="005E32B0" w:rsidRPr="00BE5490" w:rsidRDefault="00D82BA3" w:rsidP="005E32B0">
      <w:pPr>
        <w:pStyle w:val="Heading8"/>
      </w:pPr>
      <w:r w:rsidRPr="00D82BA3">
        <w:t xml:space="preserve">Transferability &amp; forecasting of </w:t>
      </w:r>
      <w:r>
        <w:br/>
      </w:r>
      <w:r w:rsidRPr="00D82BA3">
        <w:t xml:space="preserve">the Pedestrian Index Environment (PIE) </w:t>
      </w:r>
      <w:r>
        <w:br/>
      </w:r>
      <w:r w:rsidRPr="00D82BA3">
        <w:t>for modeling applications</w:t>
      </w:r>
      <w:r w:rsidR="005E32B0">
        <w:br/>
      </w:r>
    </w:p>
    <w:p w14:paraId="20394EC6" w14:textId="77777777" w:rsidR="005E32B0" w:rsidRDefault="005E32B0" w:rsidP="005E32B0">
      <w:pPr>
        <w:jc w:val="center"/>
        <w:rPr>
          <w:sz w:val="32"/>
        </w:rPr>
      </w:pPr>
    </w:p>
    <w:p w14:paraId="518FC42A" w14:textId="77777777" w:rsidR="004344D1" w:rsidRDefault="001E799D" w:rsidP="004344D1">
      <w:pPr>
        <w:pStyle w:val="Heading8"/>
        <w:rPr>
          <w:caps w:val="0"/>
          <w:sz w:val="32"/>
        </w:rPr>
      </w:pPr>
      <w:r>
        <w:rPr>
          <w:caps w:val="0"/>
          <w:sz w:val="32"/>
        </w:rPr>
        <w:t>Final Report</w:t>
      </w:r>
    </w:p>
    <w:p w14:paraId="13656EFB" w14:textId="77777777" w:rsidR="004344D1" w:rsidRPr="008E2BA8" w:rsidRDefault="004344D1" w:rsidP="004344D1">
      <w:pPr>
        <w:pStyle w:val="Heading8"/>
        <w:rPr>
          <w:b w:val="0"/>
          <w:caps w:val="0"/>
          <w:sz w:val="24"/>
          <w:szCs w:val="24"/>
        </w:rPr>
      </w:pPr>
    </w:p>
    <w:p w14:paraId="355F3FFE" w14:textId="77777777" w:rsidR="00D83830" w:rsidRPr="00BE5490" w:rsidRDefault="00A638FA" w:rsidP="00D83830">
      <w:pPr>
        <w:jc w:val="center"/>
        <w:rPr>
          <w:b/>
          <w:sz w:val="32"/>
          <w:szCs w:val="32"/>
        </w:rPr>
      </w:pPr>
      <w:r>
        <w:rPr>
          <w:b/>
          <w:sz w:val="32"/>
          <w:szCs w:val="32"/>
        </w:rPr>
        <w:t>NITC</w:t>
      </w:r>
      <w:r w:rsidR="00673A41">
        <w:rPr>
          <w:b/>
          <w:sz w:val="32"/>
          <w:szCs w:val="32"/>
        </w:rPr>
        <w:t>-</w:t>
      </w:r>
      <w:r w:rsidR="00B15AF9">
        <w:rPr>
          <w:b/>
          <w:sz w:val="32"/>
          <w:szCs w:val="32"/>
        </w:rPr>
        <w:t>RR</w:t>
      </w:r>
      <w:r w:rsidR="00D83830">
        <w:rPr>
          <w:b/>
          <w:sz w:val="32"/>
          <w:szCs w:val="32"/>
        </w:rPr>
        <w:t>-</w:t>
      </w:r>
      <w:r w:rsidR="00B15AF9">
        <w:rPr>
          <w:b/>
          <w:sz w:val="32"/>
          <w:szCs w:val="32"/>
        </w:rPr>
        <w:t>###</w:t>
      </w:r>
    </w:p>
    <w:p w14:paraId="2226BE94" w14:textId="77777777" w:rsidR="005E32B0" w:rsidRDefault="005E32B0" w:rsidP="005E32B0">
      <w:pPr>
        <w:jc w:val="center"/>
        <w:rPr>
          <w:caps/>
        </w:rPr>
      </w:pPr>
    </w:p>
    <w:p w14:paraId="4369FC4C" w14:textId="77777777" w:rsidR="005E32B0" w:rsidRDefault="005E32B0" w:rsidP="005E32B0">
      <w:pPr>
        <w:jc w:val="center"/>
      </w:pPr>
      <w:r>
        <w:t>by</w:t>
      </w:r>
    </w:p>
    <w:p w14:paraId="5400C2DB" w14:textId="77777777" w:rsidR="005E32B0" w:rsidRDefault="005E32B0" w:rsidP="005E32B0">
      <w:pPr>
        <w:jc w:val="center"/>
      </w:pPr>
    </w:p>
    <w:p w14:paraId="3C401DD5" w14:textId="62C522EE" w:rsidR="00D82BA3" w:rsidRDefault="00D82BA3" w:rsidP="00D82BA3">
      <w:pPr>
        <w:jc w:val="center"/>
      </w:pPr>
      <w:r w:rsidRPr="00D82BA3">
        <w:t>Kelly J. Clifton</w:t>
      </w:r>
      <w:r>
        <w:t>, PhD</w:t>
      </w:r>
      <w:r w:rsidRPr="0006467F">
        <w:rPr>
          <w:vertAlign w:val="superscript"/>
        </w:rPr>
        <w:t>1</w:t>
      </w:r>
      <w:r>
        <w:t xml:space="preserve"> (PI)</w:t>
      </w:r>
    </w:p>
    <w:p w14:paraId="3FD9EE09" w14:textId="552B85AF" w:rsidR="00ED5A86" w:rsidRDefault="00ED5A86" w:rsidP="00ED5A86">
      <w:pPr>
        <w:jc w:val="center"/>
      </w:pPr>
      <w:r>
        <w:t>Jaime P. Orrego-Onate</w:t>
      </w:r>
      <w:r w:rsidRPr="00D82BA3">
        <w:rPr>
          <w:vertAlign w:val="superscript"/>
        </w:rPr>
        <w:t>1</w:t>
      </w:r>
    </w:p>
    <w:p w14:paraId="63207100" w14:textId="10260D55" w:rsidR="00D82BA3" w:rsidRDefault="00D82BA3" w:rsidP="00D82BA3">
      <w:pPr>
        <w:jc w:val="center"/>
      </w:pPr>
      <w:r>
        <w:t>Patrick A. Singleton, PhD</w:t>
      </w:r>
      <w:r w:rsidR="00887923">
        <w:rPr>
          <w:vertAlign w:val="superscript"/>
        </w:rPr>
        <w:t>2</w:t>
      </w:r>
    </w:p>
    <w:p w14:paraId="336A42AE" w14:textId="60C51D92" w:rsidR="00887923" w:rsidRDefault="00887923" w:rsidP="00887923">
      <w:pPr>
        <w:jc w:val="center"/>
      </w:pPr>
      <w:r>
        <w:t>Robert J. Schneider, PhD</w:t>
      </w:r>
      <w:r>
        <w:rPr>
          <w:vertAlign w:val="superscript"/>
        </w:rPr>
        <w:t>3</w:t>
      </w:r>
    </w:p>
    <w:p w14:paraId="7209FFB4" w14:textId="77777777" w:rsidR="00D82BA3" w:rsidRDefault="00D82BA3" w:rsidP="00D82BA3">
      <w:pPr>
        <w:jc w:val="center"/>
      </w:pPr>
    </w:p>
    <w:p w14:paraId="04A38F42" w14:textId="77777777" w:rsidR="005E32B0" w:rsidRDefault="00D82BA3" w:rsidP="005E32B0">
      <w:pPr>
        <w:jc w:val="center"/>
      </w:pPr>
      <w:r w:rsidRPr="00D82BA3">
        <w:rPr>
          <w:vertAlign w:val="superscript"/>
        </w:rPr>
        <w:t>1</w:t>
      </w:r>
      <w:r>
        <w:t xml:space="preserve">Portland State </w:t>
      </w:r>
      <w:r w:rsidR="00313898">
        <w:t>University</w:t>
      </w:r>
    </w:p>
    <w:p w14:paraId="655BF78C" w14:textId="050C56B0" w:rsidR="00D82BA3" w:rsidRDefault="00887923" w:rsidP="00D82BA3">
      <w:pPr>
        <w:jc w:val="center"/>
      </w:pPr>
      <w:r>
        <w:rPr>
          <w:vertAlign w:val="superscript"/>
        </w:rPr>
        <w:t>2</w:t>
      </w:r>
      <w:r w:rsidR="00D82BA3">
        <w:t>Utah State University</w:t>
      </w:r>
    </w:p>
    <w:p w14:paraId="5ECD8792" w14:textId="45665FF3" w:rsidR="00887923" w:rsidRDefault="00887923" w:rsidP="00887923">
      <w:pPr>
        <w:jc w:val="center"/>
      </w:pPr>
      <w:r>
        <w:rPr>
          <w:vertAlign w:val="superscript"/>
        </w:rPr>
        <w:t>3</w:t>
      </w:r>
      <w:r>
        <w:t>University of Wisconsin – Milwaukee</w:t>
      </w:r>
    </w:p>
    <w:p w14:paraId="1434B05F" w14:textId="77777777" w:rsidR="005E32B0" w:rsidRDefault="005E32B0" w:rsidP="005E32B0">
      <w:pPr>
        <w:jc w:val="center"/>
      </w:pPr>
    </w:p>
    <w:p w14:paraId="445EDF50" w14:textId="77777777" w:rsidR="008348BE" w:rsidRDefault="008348BE" w:rsidP="005E32B0">
      <w:pPr>
        <w:jc w:val="center"/>
      </w:pPr>
    </w:p>
    <w:p w14:paraId="06A9DFC0" w14:textId="77777777" w:rsidR="008348BE" w:rsidRDefault="008348BE" w:rsidP="005E32B0">
      <w:pPr>
        <w:jc w:val="center"/>
      </w:pPr>
    </w:p>
    <w:p w14:paraId="3DF97A81" w14:textId="77777777" w:rsidR="008348BE" w:rsidRDefault="008348BE" w:rsidP="00591CB3"/>
    <w:p w14:paraId="26DD71B8" w14:textId="77777777" w:rsidR="008348BE" w:rsidRDefault="008348BE" w:rsidP="009A21D8">
      <w:pPr>
        <w:jc w:val="center"/>
      </w:pPr>
    </w:p>
    <w:p w14:paraId="186064EE" w14:textId="77777777" w:rsidR="008348BE" w:rsidRDefault="008348BE" w:rsidP="005E32B0">
      <w:pPr>
        <w:jc w:val="center"/>
      </w:pPr>
    </w:p>
    <w:p w14:paraId="450CC412" w14:textId="77777777" w:rsidR="009A21D8" w:rsidRDefault="009A21D8" w:rsidP="009A21D8">
      <w:pPr>
        <w:jc w:val="center"/>
      </w:pPr>
      <w:r>
        <w:t xml:space="preserve">for </w:t>
      </w:r>
    </w:p>
    <w:p w14:paraId="15CAB691" w14:textId="77777777" w:rsidR="009A21D8" w:rsidRDefault="009A21D8" w:rsidP="009A21D8">
      <w:pPr>
        <w:jc w:val="center"/>
      </w:pPr>
    </w:p>
    <w:p w14:paraId="1CCA8BDB" w14:textId="77777777" w:rsidR="009A21D8" w:rsidRDefault="00A20775" w:rsidP="009A21D8">
      <w:pPr>
        <w:jc w:val="center"/>
      </w:pPr>
      <w:r>
        <w:t>National Institute for Transportation and Communities (NITC)</w:t>
      </w:r>
    </w:p>
    <w:p w14:paraId="2164065C" w14:textId="77777777" w:rsidR="009A21D8" w:rsidRDefault="009A21D8" w:rsidP="009A21D8">
      <w:pPr>
        <w:jc w:val="center"/>
      </w:pPr>
      <w:r>
        <w:t>P.O. Box 751</w:t>
      </w:r>
    </w:p>
    <w:p w14:paraId="1554BAEF" w14:textId="77777777" w:rsidR="009A21D8" w:rsidRDefault="009A21D8" w:rsidP="009A21D8">
      <w:pPr>
        <w:jc w:val="center"/>
      </w:pPr>
      <w:r>
        <w:t>Portland, OR 97207</w:t>
      </w:r>
    </w:p>
    <w:p w14:paraId="6E942F8C" w14:textId="77777777" w:rsidR="00591CB3" w:rsidRDefault="00591CB3" w:rsidP="009A21D8">
      <w:pPr>
        <w:jc w:val="center"/>
      </w:pPr>
    </w:p>
    <w:p w14:paraId="45F10E10" w14:textId="77777777" w:rsidR="009A21D8" w:rsidRDefault="009A21D8" w:rsidP="009A21D8">
      <w:pPr>
        <w:jc w:val="center"/>
      </w:pPr>
    </w:p>
    <w:p w14:paraId="4BB54D8F" w14:textId="6995405E" w:rsidR="009A21D8" w:rsidRDefault="003A4D19" w:rsidP="009A21D8">
      <w:pPr>
        <w:jc w:val="center"/>
      </w:pPr>
      <w:r>
        <w:rPr>
          <w:noProof/>
        </w:rPr>
        <w:drawing>
          <wp:inline distT="0" distB="0" distL="0" distR="0" wp14:anchorId="65739FF7" wp14:editId="4A2787E5">
            <wp:extent cx="3548380" cy="1221740"/>
            <wp:effectExtent l="0" t="0" r="0" b="0"/>
            <wp:docPr id="1" name="Picture 1" descr="nitc_4c_horiz_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tc_4c_horiz_ta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48380" cy="1221740"/>
                    </a:xfrm>
                    <a:prstGeom prst="rect">
                      <a:avLst/>
                    </a:prstGeom>
                    <a:noFill/>
                    <a:ln>
                      <a:noFill/>
                    </a:ln>
                  </pic:spPr>
                </pic:pic>
              </a:graphicData>
            </a:graphic>
          </wp:inline>
        </w:drawing>
      </w:r>
    </w:p>
    <w:p w14:paraId="056D4750" w14:textId="77777777" w:rsidR="009A21D8" w:rsidRDefault="009A21D8" w:rsidP="009A21D8">
      <w:pPr>
        <w:jc w:val="center"/>
      </w:pPr>
    </w:p>
    <w:p w14:paraId="4C556BCE" w14:textId="77777777" w:rsidR="009A21D8" w:rsidRDefault="009A21D8" w:rsidP="009A21D8">
      <w:pPr>
        <w:jc w:val="center"/>
      </w:pPr>
    </w:p>
    <w:p w14:paraId="041589F8" w14:textId="33D9F648" w:rsidR="00B12557" w:rsidRDefault="00933714" w:rsidP="009A21D8">
      <w:pPr>
        <w:jc w:val="center"/>
        <w:rPr>
          <w:b/>
          <w:caps/>
          <w:sz w:val="28"/>
        </w:rPr>
      </w:pPr>
      <w:r>
        <w:rPr>
          <w:b/>
          <w:sz w:val="28"/>
        </w:rPr>
        <w:t>March</w:t>
      </w:r>
      <w:r w:rsidR="009A21D8">
        <w:rPr>
          <w:b/>
          <w:sz w:val="28"/>
        </w:rPr>
        <w:t xml:space="preserve"> </w:t>
      </w:r>
      <w:r>
        <w:rPr>
          <w:b/>
          <w:caps/>
          <w:sz w:val="28"/>
        </w:rPr>
        <w:t>2018</w:t>
      </w:r>
    </w:p>
    <w:p w14:paraId="495A9130" w14:textId="77777777" w:rsidR="00DA3348" w:rsidRDefault="00DA3348" w:rsidP="009D1A7E">
      <w:pPr>
        <w:rPr>
          <w:b/>
          <w:caps/>
          <w:sz w:val="28"/>
        </w:rPr>
      </w:pPr>
    </w:p>
    <w:p w14:paraId="44389849" w14:textId="06410A0A" w:rsidR="005C59AB" w:rsidRDefault="00DA3348" w:rsidP="00DA3348">
      <w:r>
        <w:br w:type="page"/>
      </w:r>
      <w:r>
        <w:lastRenderedPageBreak/>
        <w:softHyphen/>
      </w:r>
      <w:r>
        <w:softHyphen/>
      </w:r>
      <w:r>
        <w:softHyphen/>
      </w:r>
      <w:r>
        <w:softHyphen/>
      </w:r>
      <w:r>
        <w:softHyphen/>
      </w:r>
    </w:p>
    <w:tbl>
      <w:tblPr>
        <w:tblW w:w="9630" w:type="dxa"/>
        <w:tblInd w:w="18" w:type="dxa"/>
        <w:tblLayout w:type="fixed"/>
        <w:tblLook w:val="0000" w:firstRow="0" w:lastRow="0" w:firstColumn="0" w:lastColumn="0" w:noHBand="0" w:noVBand="0"/>
      </w:tblPr>
      <w:tblGrid>
        <w:gridCol w:w="3232"/>
        <w:gridCol w:w="2249"/>
        <w:gridCol w:w="729"/>
        <w:gridCol w:w="577"/>
        <w:gridCol w:w="1763"/>
        <w:gridCol w:w="1080"/>
      </w:tblGrid>
      <w:tr w:rsidR="009D1A7E" w14:paraId="3CD2448A" w14:textId="77777777" w:rsidTr="009D1A7E">
        <w:tc>
          <w:tcPr>
            <w:tcW w:w="9630" w:type="dxa"/>
            <w:gridSpan w:val="6"/>
            <w:tcBorders>
              <w:top w:val="single" w:sz="18" w:space="0" w:color="auto"/>
              <w:left w:val="single" w:sz="18" w:space="0" w:color="auto"/>
              <w:bottom w:val="single" w:sz="6" w:space="0" w:color="auto"/>
              <w:right w:val="single" w:sz="18" w:space="0" w:color="auto"/>
            </w:tcBorders>
          </w:tcPr>
          <w:p w14:paraId="4A370BF3" w14:textId="77777777" w:rsidR="009D1A7E" w:rsidRPr="005C59AB" w:rsidRDefault="00593119" w:rsidP="009D1A7E">
            <w:r>
              <w:br w:type="page"/>
            </w:r>
            <w:r w:rsidR="00B12557">
              <w:rPr>
                <w:b/>
                <w:caps/>
                <w:sz w:val="28"/>
              </w:rPr>
              <w:br w:type="page"/>
            </w:r>
            <w:r w:rsidR="009D1A7E" w:rsidRPr="009D1A7E">
              <w:rPr>
                <w:rFonts w:ascii="CG Times (W1)" w:hAnsi="CG Times (W1)"/>
                <w:b/>
                <w:szCs w:val="24"/>
              </w:rPr>
              <w:t>Technical Report Documentation Page</w:t>
            </w:r>
          </w:p>
        </w:tc>
      </w:tr>
      <w:tr w:rsidR="0089726A" w14:paraId="43F5A9B7" w14:textId="77777777" w:rsidTr="009A21D8">
        <w:tc>
          <w:tcPr>
            <w:tcW w:w="3232" w:type="dxa"/>
            <w:tcBorders>
              <w:top w:val="single" w:sz="18" w:space="0" w:color="auto"/>
              <w:left w:val="single" w:sz="18" w:space="0" w:color="auto"/>
              <w:bottom w:val="single" w:sz="6" w:space="0" w:color="auto"/>
              <w:right w:val="single" w:sz="6" w:space="0" w:color="auto"/>
            </w:tcBorders>
          </w:tcPr>
          <w:p w14:paraId="699C451C" w14:textId="77777777" w:rsidR="0089726A" w:rsidRDefault="0089726A">
            <w:pPr>
              <w:ind w:left="252" w:hanging="252"/>
              <w:rPr>
                <w:rFonts w:ascii="CG Times (W1)" w:hAnsi="CG Times (W1)"/>
                <w:sz w:val="16"/>
              </w:rPr>
            </w:pPr>
            <w:r>
              <w:rPr>
                <w:rFonts w:ascii="CG Times (W1)" w:hAnsi="CG Times (W1)"/>
                <w:sz w:val="16"/>
              </w:rPr>
              <w:t>1.</w:t>
            </w:r>
            <w:r w:rsidR="00833EF2">
              <w:rPr>
                <w:rFonts w:ascii="CG Times (W1)" w:hAnsi="CG Times (W1)"/>
                <w:sz w:val="16"/>
              </w:rPr>
              <w:t xml:space="preserve"> </w:t>
            </w:r>
            <w:r>
              <w:rPr>
                <w:rFonts w:ascii="CG Times (W1)" w:hAnsi="CG Times (W1)"/>
                <w:sz w:val="16"/>
              </w:rPr>
              <w:t>Report No.</w:t>
            </w:r>
          </w:p>
          <w:p w14:paraId="2B14415A" w14:textId="77777777" w:rsidR="00FB7501" w:rsidRDefault="00FB7501">
            <w:pPr>
              <w:ind w:left="252" w:hanging="252"/>
              <w:rPr>
                <w:rFonts w:ascii="CG Times (W1)" w:hAnsi="CG Times (W1)"/>
                <w:sz w:val="16"/>
              </w:rPr>
            </w:pPr>
          </w:p>
          <w:p w14:paraId="431BEF0A" w14:textId="77777777" w:rsidR="0089726A" w:rsidRDefault="00D979FD">
            <w:pPr>
              <w:ind w:left="252"/>
              <w:rPr>
                <w:rFonts w:ascii="CG Times (W1)" w:hAnsi="CG Times (W1)"/>
                <w:sz w:val="16"/>
              </w:rPr>
            </w:pPr>
            <w:r>
              <w:rPr>
                <w:rFonts w:ascii="CG Times (W1)" w:hAnsi="CG Times (W1)"/>
                <w:sz w:val="16"/>
              </w:rPr>
              <w:t>NITC-</w:t>
            </w:r>
            <w:r w:rsidR="0039101A">
              <w:rPr>
                <w:rFonts w:ascii="CG Times (W1)" w:hAnsi="CG Times (W1)"/>
                <w:sz w:val="16"/>
              </w:rPr>
              <w:t>RR-</w:t>
            </w:r>
            <w:r w:rsidR="00B15AF9">
              <w:rPr>
                <w:rFonts w:ascii="CG Times (W1)" w:hAnsi="CG Times (W1)"/>
                <w:sz w:val="16"/>
              </w:rPr>
              <w:t>###</w:t>
            </w:r>
          </w:p>
          <w:p w14:paraId="21AE2834" w14:textId="77777777" w:rsidR="0089726A" w:rsidRDefault="0089726A">
            <w:pPr>
              <w:ind w:left="252"/>
              <w:rPr>
                <w:rFonts w:ascii="CG Times (W1)" w:hAnsi="CG Times (W1)"/>
                <w:sz w:val="16"/>
              </w:rPr>
            </w:pPr>
          </w:p>
        </w:tc>
        <w:tc>
          <w:tcPr>
            <w:tcW w:w="3555" w:type="dxa"/>
            <w:gridSpan w:val="3"/>
            <w:tcBorders>
              <w:top w:val="single" w:sz="18" w:space="0" w:color="auto"/>
              <w:left w:val="nil"/>
              <w:bottom w:val="single" w:sz="6" w:space="0" w:color="auto"/>
            </w:tcBorders>
          </w:tcPr>
          <w:p w14:paraId="31491700" w14:textId="77777777" w:rsidR="0089726A" w:rsidRDefault="0089726A">
            <w:pPr>
              <w:rPr>
                <w:rFonts w:ascii="CG Times (W1)" w:hAnsi="CG Times (W1)"/>
                <w:sz w:val="16"/>
              </w:rPr>
            </w:pPr>
            <w:r>
              <w:rPr>
                <w:rFonts w:ascii="CG Times (W1)" w:hAnsi="CG Times (W1)"/>
                <w:sz w:val="16"/>
              </w:rPr>
              <w:t>2.</w:t>
            </w:r>
            <w:r w:rsidR="00833EF2">
              <w:rPr>
                <w:rFonts w:ascii="CG Times (W1)" w:hAnsi="CG Times (W1)"/>
                <w:sz w:val="16"/>
              </w:rPr>
              <w:t xml:space="preserve"> </w:t>
            </w:r>
            <w:r>
              <w:rPr>
                <w:rFonts w:ascii="CG Times (W1)" w:hAnsi="CG Times (W1)"/>
                <w:sz w:val="16"/>
              </w:rPr>
              <w:t>Government Accession No.</w:t>
            </w:r>
          </w:p>
          <w:p w14:paraId="5C04391C" w14:textId="77777777" w:rsidR="0089726A" w:rsidRDefault="0089726A">
            <w:pPr>
              <w:ind w:left="260"/>
              <w:rPr>
                <w:rFonts w:ascii="CG Times (W1)" w:hAnsi="CG Times (W1)"/>
                <w:sz w:val="16"/>
              </w:rPr>
            </w:pPr>
          </w:p>
          <w:p w14:paraId="290FC668" w14:textId="77777777" w:rsidR="0089726A" w:rsidRDefault="0089726A">
            <w:pPr>
              <w:ind w:left="260"/>
              <w:rPr>
                <w:rFonts w:ascii="CG Times (W1)" w:hAnsi="CG Times (W1)"/>
                <w:sz w:val="16"/>
              </w:rPr>
            </w:pPr>
          </w:p>
        </w:tc>
        <w:tc>
          <w:tcPr>
            <w:tcW w:w="2843" w:type="dxa"/>
            <w:gridSpan w:val="2"/>
            <w:tcBorders>
              <w:top w:val="single" w:sz="18" w:space="0" w:color="auto"/>
              <w:left w:val="single" w:sz="6" w:space="0" w:color="auto"/>
              <w:bottom w:val="single" w:sz="6" w:space="0" w:color="auto"/>
              <w:right w:val="single" w:sz="18" w:space="0" w:color="auto"/>
            </w:tcBorders>
          </w:tcPr>
          <w:p w14:paraId="5D3B5873" w14:textId="77777777" w:rsidR="0089726A" w:rsidRDefault="0089726A">
            <w:pPr>
              <w:rPr>
                <w:rFonts w:ascii="CG Times (W1)" w:hAnsi="CG Times (W1)"/>
                <w:sz w:val="16"/>
              </w:rPr>
            </w:pPr>
            <w:r>
              <w:rPr>
                <w:rFonts w:ascii="CG Times (W1)" w:hAnsi="CG Times (W1)"/>
                <w:sz w:val="16"/>
              </w:rPr>
              <w:t>3.</w:t>
            </w:r>
            <w:r w:rsidR="00833EF2">
              <w:rPr>
                <w:rFonts w:ascii="CG Times (W1)" w:hAnsi="CG Times (W1)"/>
                <w:sz w:val="16"/>
              </w:rPr>
              <w:t xml:space="preserve"> </w:t>
            </w:r>
            <w:r>
              <w:rPr>
                <w:rFonts w:ascii="CG Times (W1)" w:hAnsi="CG Times (W1)"/>
                <w:sz w:val="16"/>
              </w:rPr>
              <w:t>Recipient’s Catalog No.</w:t>
            </w:r>
          </w:p>
          <w:p w14:paraId="48BD175B" w14:textId="77777777" w:rsidR="0089726A" w:rsidRDefault="0089726A">
            <w:pPr>
              <w:ind w:left="215"/>
              <w:rPr>
                <w:rFonts w:ascii="CG Times (W1)" w:hAnsi="CG Times (W1)"/>
                <w:sz w:val="16"/>
              </w:rPr>
            </w:pPr>
          </w:p>
          <w:p w14:paraId="1935E743" w14:textId="77777777" w:rsidR="0089726A" w:rsidRDefault="0089726A">
            <w:pPr>
              <w:ind w:left="215"/>
              <w:rPr>
                <w:rFonts w:ascii="CG Times (W1)" w:hAnsi="CG Times (W1)"/>
                <w:sz w:val="16"/>
              </w:rPr>
            </w:pPr>
          </w:p>
        </w:tc>
      </w:tr>
      <w:tr w:rsidR="0089726A" w14:paraId="226BA0A1" w14:textId="77777777" w:rsidTr="009A21D8">
        <w:tc>
          <w:tcPr>
            <w:tcW w:w="6787" w:type="dxa"/>
            <w:gridSpan w:val="4"/>
            <w:tcBorders>
              <w:left w:val="single" w:sz="18" w:space="0" w:color="auto"/>
            </w:tcBorders>
          </w:tcPr>
          <w:p w14:paraId="427CAA0C" w14:textId="77777777" w:rsidR="0089726A" w:rsidRDefault="0089726A">
            <w:pPr>
              <w:rPr>
                <w:rFonts w:ascii="CG Times (W1)" w:hAnsi="CG Times (W1)"/>
                <w:sz w:val="16"/>
              </w:rPr>
            </w:pPr>
            <w:r>
              <w:rPr>
                <w:rFonts w:ascii="CG Times (W1)" w:hAnsi="CG Times (W1)"/>
                <w:sz w:val="16"/>
              </w:rPr>
              <w:t>4.</w:t>
            </w:r>
            <w:r w:rsidR="00833EF2">
              <w:rPr>
                <w:rFonts w:ascii="CG Times (W1)" w:hAnsi="CG Times (W1)"/>
                <w:sz w:val="16"/>
              </w:rPr>
              <w:t xml:space="preserve"> </w:t>
            </w:r>
            <w:r>
              <w:rPr>
                <w:rFonts w:ascii="CG Times (W1)" w:hAnsi="CG Times (W1)"/>
                <w:sz w:val="16"/>
              </w:rPr>
              <w:t>Title and Subtitle</w:t>
            </w:r>
          </w:p>
          <w:p w14:paraId="43945CA9" w14:textId="77777777" w:rsidR="0089726A" w:rsidRDefault="0089726A">
            <w:pPr>
              <w:ind w:left="-918" w:firstLine="1170"/>
              <w:rPr>
                <w:rFonts w:ascii="CG Times (W1)" w:hAnsi="CG Times (W1)"/>
                <w:sz w:val="16"/>
              </w:rPr>
            </w:pPr>
          </w:p>
          <w:p w14:paraId="2DB3921E" w14:textId="77777777" w:rsidR="0089726A" w:rsidRDefault="00FB7501" w:rsidP="00FB7501">
            <w:pPr>
              <w:ind w:left="252"/>
              <w:rPr>
                <w:rFonts w:ascii="CG Times (W1)" w:hAnsi="CG Times (W1)"/>
                <w:sz w:val="16"/>
              </w:rPr>
            </w:pPr>
            <w:bookmarkStart w:id="0" w:name="_Hlk522076088"/>
            <w:r>
              <w:rPr>
                <w:rFonts w:ascii="CG Times (W1)" w:hAnsi="CG Times (W1)"/>
                <w:sz w:val="16"/>
              </w:rPr>
              <w:t>Transferability &amp; Forecasting of the Pedestrian Index of the Environment (PIE) for Modeling Applications</w:t>
            </w:r>
            <w:bookmarkEnd w:id="0"/>
          </w:p>
        </w:tc>
        <w:tc>
          <w:tcPr>
            <w:tcW w:w="2843" w:type="dxa"/>
            <w:gridSpan w:val="2"/>
            <w:tcBorders>
              <w:left w:val="single" w:sz="6" w:space="0" w:color="auto"/>
              <w:bottom w:val="single" w:sz="6" w:space="0" w:color="auto"/>
              <w:right w:val="single" w:sz="18" w:space="0" w:color="auto"/>
            </w:tcBorders>
          </w:tcPr>
          <w:p w14:paraId="5CF950C1" w14:textId="77777777" w:rsidR="0089726A" w:rsidRDefault="0089726A">
            <w:pPr>
              <w:ind w:left="215" w:hanging="215"/>
              <w:rPr>
                <w:rFonts w:ascii="CG Times (W1)" w:hAnsi="CG Times (W1)"/>
                <w:sz w:val="16"/>
              </w:rPr>
            </w:pPr>
            <w:r>
              <w:rPr>
                <w:rFonts w:ascii="CG Times (W1)" w:hAnsi="CG Times (W1)"/>
                <w:sz w:val="16"/>
              </w:rPr>
              <w:t>5.</w:t>
            </w:r>
            <w:r w:rsidR="00833EF2">
              <w:rPr>
                <w:rFonts w:ascii="CG Times (W1)" w:hAnsi="CG Times (W1)"/>
                <w:sz w:val="16"/>
              </w:rPr>
              <w:t xml:space="preserve"> </w:t>
            </w:r>
            <w:r>
              <w:rPr>
                <w:rFonts w:ascii="CG Times (W1)" w:hAnsi="CG Times (W1)"/>
                <w:sz w:val="16"/>
              </w:rPr>
              <w:t>Report Date</w:t>
            </w:r>
          </w:p>
          <w:p w14:paraId="639BDD5E" w14:textId="77777777" w:rsidR="0089726A" w:rsidRDefault="0089726A">
            <w:pPr>
              <w:ind w:left="215"/>
              <w:rPr>
                <w:rFonts w:ascii="CG Times (W1)" w:hAnsi="CG Times (W1)"/>
                <w:sz w:val="16"/>
              </w:rPr>
            </w:pPr>
          </w:p>
          <w:p w14:paraId="6D885682" w14:textId="19BB85A8" w:rsidR="00FB7501" w:rsidRDefault="005407B7">
            <w:pPr>
              <w:ind w:left="215"/>
              <w:rPr>
                <w:rFonts w:ascii="CG Times (W1)" w:hAnsi="CG Times (W1)"/>
                <w:sz w:val="16"/>
              </w:rPr>
            </w:pPr>
            <w:r>
              <w:rPr>
                <w:rFonts w:ascii="CG Times (W1)" w:hAnsi="CG Times (W1)"/>
                <w:sz w:val="16"/>
              </w:rPr>
              <w:t>March</w:t>
            </w:r>
            <w:r w:rsidR="00675836">
              <w:rPr>
                <w:rFonts w:ascii="CG Times (W1)" w:hAnsi="CG Times (W1)"/>
                <w:sz w:val="16"/>
              </w:rPr>
              <w:t xml:space="preserve"> 2</w:t>
            </w:r>
            <w:r w:rsidR="00933714">
              <w:rPr>
                <w:rFonts w:ascii="CG Times (W1)" w:hAnsi="CG Times (W1)"/>
                <w:sz w:val="16"/>
              </w:rPr>
              <w:t>01</w:t>
            </w:r>
            <w:r>
              <w:rPr>
                <w:rFonts w:ascii="CG Times (W1)" w:hAnsi="CG Times (W1)"/>
                <w:sz w:val="16"/>
              </w:rPr>
              <w:t>9</w:t>
            </w:r>
          </w:p>
        </w:tc>
      </w:tr>
      <w:tr w:rsidR="0089726A" w14:paraId="34AB7C5E" w14:textId="77777777" w:rsidTr="009A21D8">
        <w:tc>
          <w:tcPr>
            <w:tcW w:w="6787" w:type="dxa"/>
            <w:gridSpan w:val="4"/>
            <w:tcBorders>
              <w:left w:val="single" w:sz="18" w:space="0" w:color="auto"/>
            </w:tcBorders>
          </w:tcPr>
          <w:p w14:paraId="15FE0D71" w14:textId="77777777" w:rsidR="0089726A" w:rsidRDefault="0089726A">
            <w:pPr>
              <w:ind w:left="252"/>
              <w:rPr>
                <w:rFonts w:ascii="CG Times (W1)" w:hAnsi="CG Times (W1)"/>
                <w:sz w:val="16"/>
              </w:rPr>
            </w:pPr>
          </w:p>
        </w:tc>
        <w:tc>
          <w:tcPr>
            <w:tcW w:w="2843" w:type="dxa"/>
            <w:gridSpan w:val="2"/>
            <w:tcBorders>
              <w:top w:val="single" w:sz="6" w:space="0" w:color="auto"/>
              <w:left w:val="single" w:sz="6" w:space="0" w:color="auto"/>
              <w:bottom w:val="single" w:sz="6" w:space="0" w:color="auto"/>
              <w:right w:val="single" w:sz="18" w:space="0" w:color="auto"/>
            </w:tcBorders>
          </w:tcPr>
          <w:p w14:paraId="4E56706E" w14:textId="77777777" w:rsidR="0089726A" w:rsidRDefault="0089726A">
            <w:pPr>
              <w:rPr>
                <w:rFonts w:ascii="CG Times (W1)" w:hAnsi="CG Times (W1)"/>
                <w:sz w:val="16"/>
              </w:rPr>
            </w:pPr>
            <w:r>
              <w:rPr>
                <w:rFonts w:ascii="CG Times (W1)" w:hAnsi="CG Times (W1)"/>
                <w:sz w:val="16"/>
              </w:rPr>
              <w:t>6.</w:t>
            </w:r>
            <w:r w:rsidR="00833EF2">
              <w:rPr>
                <w:rFonts w:ascii="CG Times (W1)" w:hAnsi="CG Times (W1)"/>
                <w:sz w:val="16"/>
              </w:rPr>
              <w:t xml:space="preserve"> </w:t>
            </w:r>
            <w:r>
              <w:rPr>
                <w:rFonts w:ascii="CG Times (W1)" w:hAnsi="CG Times (W1)"/>
                <w:sz w:val="16"/>
              </w:rPr>
              <w:t>Performing Organization Code</w:t>
            </w:r>
          </w:p>
          <w:p w14:paraId="652417A2" w14:textId="77777777" w:rsidR="0089726A" w:rsidRDefault="0089726A">
            <w:pPr>
              <w:ind w:left="215"/>
              <w:rPr>
                <w:rFonts w:ascii="CG Times (W1)" w:hAnsi="CG Times (W1)"/>
                <w:sz w:val="16"/>
              </w:rPr>
            </w:pPr>
          </w:p>
        </w:tc>
      </w:tr>
      <w:tr w:rsidR="0089726A" w14:paraId="6C3A063B" w14:textId="77777777" w:rsidTr="009A21D8">
        <w:tc>
          <w:tcPr>
            <w:tcW w:w="6787" w:type="dxa"/>
            <w:gridSpan w:val="4"/>
            <w:tcBorders>
              <w:top w:val="single" w:sz="6" w:space="0" w:color="auto"/>
              <w:left w:val="single" w:sz="18" w:space="0" w:color="auto"/>
              <w:bottom w:val="single" w:sz="6" w:space="0" w:color="auto"/>
            </w:tcBorders>
          </w:tcPr>
          <w:p w14:paraId="31CEE5CF" w14:textId="77777777" w:rsidR="0089726A" w:rsidRDefault="0089726A">
            <w:pPr>
              <w:rPr>
                <w:rFonts w:ascii="CG Times (W1)" w:hAnsi="CG Times (W1)"/>
                <w:sz w:val="16"/>
              </w:rPr>
            </w:pPr>
            <w:r>
              <w:rPr>
                <w:rFonts w:ascii="CG Times (W1)" w:hAnsi="CG Times (W1)"/>
                <w:sz w:val="16"/>
              </w:rPr>
              <w:t>7.</w:t>
            </w:r>
            <w:r w:rsidR="00833EF2">
              <w:rPr>
                <w:rFonts w:ascii="CG Times (W1)" w:hAnsi="CG Times (W1)"/>
                <w:sz w:val="16"/>
              </w:rPr>
              <w:t xml:space="preserve"> </w:t>
            </w:r>
            <w:r>
              <w:rPr>
                <w:rFonts w:ascii="CG Times (W1)" w:hAnsi="CG Times (W1)"/>
                <w:sz w:val="16"/>
              </w:rPr>
              <w:t>Author(s)</w:t>
            </w:r>
          </w:p>
          <w:p w14:paraId="695310DC" w14:textId="77777777" w:rsidR="0089726A" w:rsidRDefault="0089726A">
            <w:pPr>
              <w:ind w:left="215"/>
              <w:rPr>
                <w:rFonts w:ascii="CG Times (W1)" w:hAnsi="CG Times (W1)"/>
                <w:sz w:val="16"/>
              </w:rPr>
            </w:pPr>
          </w:p>
          <w:p w14:paraId="32BABFE2" w14:textId="709E8963" w:rsidR="0089726A" w:rsidRDefault="00FB7501" w:rsidP="00876B52">
            <w:pPr>
              <w:ind w:left="215"/>
              <w:rPr>
                <w:rFonts w:ascii="CG Times (W1)" w:hAnsi="CG Times (W1)"/>
                <w:sz w:val="16"/>
              </w:rPr>
            </w:pPr>
            <w:r w:rsidRPr="00FB7501">
              <w:rPr>
                <w:rFonts w:ascii="CG Times (W1)" w:hAnsi="CG Times (W1)"/>
                <w:sz w:val="16"/>
              </w:rPr>
              <w:t xml:space="preserve">Kelly J. Clifton; </w:t>
            </w:r>
            <w:r w:rsidR="00675836">
              <w:rPr>
                <w:rFonts w:ascii="CG Times (W1)" w:hAnsi="CG Times (W1)"/>
                <w:sz w:val="16"/>
              </w:rPr>
              <w:t>Jaime P. Orrego-Oñate;</w:t>
            </w:r>
            <w:r w:rsidR="00675836" w:rsidRPr="00FB7501">
              <w:rPr>
                <w:rFonts w:ascii="CG Times (W1)" w:hAnsi="CG Times (W1)"/>
                <w:sz w:val="16"/>
              </w:rPr>
              <w:t xml:space="preserve"> Patrick A. Singleton; </w:t>
            </w:r>
            <w:r w:rsidRPr="00FB7501">
              <w:rPr>
                <w:rFonts w:ascii="CG Times (W1)" w:hAnsi="CG Times (W1)"/>
                <w:sz w:val="16"/>
              </w:rPr>
              <w:t>Robert J. Schneider</w:t>
            </w:r>
          </w:p>
          <w:p w14:paraId="41601386" w14:textId="77777777" w:rsidR="00876B52" w:rsidRDefault="00876B52" w:rsidP="00876B52">
            <w:pPr>
              <w:ind w:left="215"/>
              <w:rPr>
                <w:rFonts w:ascii="CG Times (W1)" w:hAnsi="CG Times (W1)"/>
                <w:sz w:val="16"/>
              </w:rPr>
            </w:pPr>
          </w:p>
        </w:tc>
        <w:tc>
          <w:tcPr>
            <w:tcW w:w="2843" w:type="dxa"/>
            <w:gridSpan w:val="2"/>
            <w:tcBorders>
              <w:top w:val="single" w:sz="6" w:space="0" w:color="auto"/>
              <w:left w:val="single" w:sz="6" w:space="0" w:color="auto"/>
              <w:right w:val="single" w:sz="18" w:space="0" w:color="auto"/>
            </w:tcBorders>
          </w:tcPr>
          <w:p w14:paraId="1DD9CE07" w14:textId="77777777" w:rsidR="0089726A" w:rsidRDefault="0089726A">
            <w:pPr>
              <w:rPr>
                <w:rFonts w:ascii="CG Times (W1)" w:hAnsi="CG Times (W1)"/>
                <w:sz w:val="16"/>
              </w:rPr>
            </w:pPr>
            <w:r>
              <w:rPr>
                <w:rFonts w:ascii="CG Times (W1)" w:hAnsi="CG Times (W1)"/>
                <w:sz w:val="16"/>
              </w:rPr>
              <w:t>8.</w:t>
            </w:r>
            <w:r w:rsidR="00833EF2">
              <w:rPr>
                <w:rFonts w:ascii="CG Times (W1)" w:hAnsi="CG Times (W1)"/>
                <w:sz w:val="16"/>
              </w:rPr>
              <w:t xml:space="preserve"> </w:t>
            </w:r>
            <w:r>
              <w:rPr>
                <w:rFonts w:ascii="CG Times (W1)" w:hAnsi="CG Times (W1)"/>
                <w:sz w:val="16"/>
              </w:rPr>
              <w:t>Performing Organization Report No.</w:t>
            </w:r>
          </w:p>
          <w:p w14:paraId="47C1ADEC" w14:textId="77777777" w:rsidR="0089726A" w:rsidRDefault="0089726A">
            <w:pPr>
              <w:ind w:left="215"/>
              <w:rPr>
                <w:rFonts w:ascii="CG Times (W1)" w:hAnsi="CG Times (W1)"/>
                <w:sz w:val="16"/>
              </w:rPr>
            </w:pPr>
          </w:p>
        </w:tc>
      </w:tr>
      <w:tr w:rsidR="0089726A" w14:paraId="1EF325BE" w14:textId="77777777" w:rsidTr="009A21D8">
        <w:trPr>
          <w:cantSplit/>
        </w:trPr>
        <w:tc>
          <w:tcPr>
            <w:tcW w:w="6787" w:type="dxa"/>
            <w:gridSpan w:val="4"/>
            <w:vMerge w:val="restart"/>
            <w:tcBorders>
              <w:left w:val="single" w:sz="18" w:space="0" w:color="auto"/>
            </w:tcBorders>
          </w:tcPr>
          <w:p w14:paraId="090DFAED" w14:textId="77777777" w:rsidR="0089726A" w:rsidRDefault="0089726A">
            <w:pPr>
              <w:rPr>
                <w:rFonts w:ascii="CG Times (W1)" w:hAnsi="CG Times (W1)"/>
                <w:sz w:val="16"/>
              </w:rPr>
            </w:pPr>
            <w:r>
              <w:rPr>
                <w:rFonts w:ascii="CG Times (W1)" w:hAnsi="CG Times (W1)"/>
                <w:sz w:val="16"/>
              </w:rPr>
              <w:t>9.</w:t>
            </w:r>
            <w:r w:rsidR="00833EF2">
              <w:rPr>
                <w:rFonts w:ascii="CG Times (W1)" w:hAnsi="CG Times (W1)"/>
                <w:sz w:val="16"/>
              </w:rPr>
              <w:t xml:space="preserve"> </w:t>
            </w:r>
            <w:r>
              <w:rPr>
                <w:rFonts w:ascii="CG Times (W1)" w:hAnsi="CG Times (W1)"/>
                <w:sz w:val="16"/>
              </w:rPr>
              <w:t>Performing Organization Name and Address</w:t>
            </w:r>
          </w:p>
          <w:p w14:paraId="78600261" w14:textId="77777777" w:rsidR="0089726A" w:rsidRDefault="0089726A">
            <w:pPr>
              <w:ind w:left="215"/>
              <w:rPr>
                <w:rFonts w:ascii="CG Times (W1)" w:hAnsi="CG Times (W1)"/>
                <w:sz w:val="16"/>
              </w:rPr>
            </w:pPr>
          </w:p>
          <w:p w14:paraId="16482A7E" w14:textId="77777777" w:rsidR="00FB7501" w:rsidRPr="00FB7501" w:rsidRDefault="00FB7501" w:rsidP="00FB7501">
            <w:pPr>
              <w:ind w:left="215"/>
              <w:rPr>
                <w:rFonts w:ascii="CG Times (W1)" w:hAnsi="CG Times (W1)"/>
                <w:sz w:val="16"/>
              </w:rPr>
            </w:pPr>
            <w:r w:rsidRPr="00FB7501">
              <w:rPr>
                <w:rFonts w:ascii="CG Times (W1)" w:hAnsi="CG Times (W1)"/>
                <w:sz w:val="16"/>
              </w:rPr>
              <w:t>Portland State University, Department of Civil &amp; Environmental Engineering</w:t>
            </w:r>
          </w:p>
          <w:p w14:paraId="6992E2F0" w14:textId="77777777" w:rsidR="00FB7501" w:rsidRPr="00FB7501" w:rsidRDefault="00FB7501" w:rsidP="00FB7501">
            <w:pPr>
              <w:ind w:left="215"/>
              <w:rPr>
                <w:rFonts w:ascii="CG Times (W1)" w:hAnsi="CG Times (W1)"/>
                <w:sz w:val="16"/>
              </w:rPr>
            </w:pPr>
            <w:r w:rsidRPr="00FB7501">
              <w:rPr>
                <w:rFonts w:ascii="CG Times (W1)" w:hAnsi="CG Times (W1)"/>
                <w:sz w:val="16"/>
              </w:rPr>
              <w:t>PO Box 751 - CEE</w:t>
            </w:r>
          </w:p>
          <w:p w14:paraId="4318EFBF" w14:textId="77777777" w:rsidR="0089726A" w:rsidRDefault="00FB7501" w:rsidP="00FB7501">
            <w:pPr>
              <w:ind w:left="215"/>
              <w:rPr>
                <w:rFonts w:ascii="CG Times (W1)" w:hAnsi="CG Times (W1)"/>
                <w:sz w:val="16"/>
              </w:rPr>
            </w:pPr>
            <w:r w:rsidRPr="00FB7501">
              <w:rPr>
                <w:rFonts w:ascii="CG Times (W1)" w:hAnsi="CG Times (W1)"/>
                <w:sz w:val="16"/>
              </w:rPr>
              <w:t>Portland, OR 97207-0751</w:t>
            </w:r>
          </w:p>
          <w:p w14:paraId="2EB25512" w14:textId="77777777" w:rsidR="00FB7501" w:rsidRDefault="00FB7501" w:rsidP="00FB7501">
            <w:pPr>
              <w:ind w:left="215"/>
              <w:rPr>
                <w:rFonts w:ascii="CG Times (W1)" w:hAnsi="CG Times (W1)"/>
                <w:sz w:val="16"/>
              </w:rPr>
            </w:pPr>
          </w:p>
        </w:tc>
        <w:tc>
          <w:tcPr>
            <w:tcW w:w="2843" w:type="dxa"/>
            <w:gridSpan w:val="2"/>
            <w:tcBorders>
              <w:top w:val="single" w:sz="6" w:space="0" w:color="auto"/>
              <w:left w:val="single" w:sz="6" w:space="0" w:color="auto"/>
              <w:bottom w:val="single" w:sz="6" w:space="0" w:color="auto"/>
              <w:right w:val="single" w:sz="18" w:space="0" w:color="auto"/>
            </w:tcBorders>
          </w:tcPr>
          <w:p w14:paraId="0A764F7C" w14:textId="77777777" w:rsidR="0089726A" w:rsidRDefault="0089726A">
            <w:pPr>
              <w:rPr>
                <w:rFonts w:ascii="CG Times (W1)" w:hAnsi="CG Times (W1)"/>
                <w:sz w:val="16"/>
              </w:rPr>
            </w:pPr>
            <w:r>
              <w:rPr>
                <w:rFonts w:ascii="CG Times (W1)" w:hAnsi="CG Times (W1)"/>
                <w:sz w:val="16"/>
              </w:rPr>
              <w:t>10.</w:t>
            </w:r>
            <w:r w:rsidR="00833EF2">
              <w:rPr>
                <w:rFonts w:ascii="CG Times (W1)" w:hAnsi="CG Times (W1)"/>
                <w:sz w:val="16"/>
              </w:rPr>
              <w:t xml:space="preserve"> </w:t>
            </w:r>
            <w:r>
              <w:rPr>
                <w:rFonts w:ascii="CG Times (W1)" w:hAnsi="CG Times (W1)"/>
                <w:sz w:val="16"/>
              </w:rPr>
              <w:t>Work Unit No.</w:t>
            </w:r>
            <w:r w:rsidR="00833EF2">
              <w:rPr>
                <w:rFonts w:ascii="CG Times (W1)" w:hAnsi="CG Times (W1)"/>
                <w:sz w:val="16"/>
              </w:rPr>
              <w:t xml:space="preserve"> </w:t>
            </w:r>
            <w:r>
              <w:rPr>
                <w:rFonts w:ascii="CG Times (W1)" w:hAnsi="CG Times (W1)"/>
                <w:sz w:val="16"/>
              </w:rPr>
              <w:t>(</w:t>
            </w:r>
            <w:r>
              <w:rPr>
                <w:rFonts w:ascii="CG Times (W1)" w:hAnsi="CG Times (W1)"/>
                <w:caps/>
                <w:sz w:val="16"/>
              </w:rPr>
              <w:t>trais</w:t>
            </w:r>
            <w:r>
              <w:rPr>
                <w:rFonts w:ascii="CG Times (W1)" w:hAnsi="CG Times (W1)"/>
                <w:sz w:val="16"/>
              </w:rPr>
              <w:t>)</w:t>
            </w:r>
          </w:p>
          <w:p w14:paraId="77D40782" w14:textId="77777777" w:rsidR="0089726A" w:rsidRDefault="0089726A">
            <w:pPr>
              <w:ind w:left="215"/>
              <w:rPr>
                <w:rFonts w:ascii="CG Times (W1)" w:hAnsi="CG Times (W1)"/>
                <w:sz w:val="16"/>
              </w:rPr>
            </w:pPr>
          </w:p>
          <w:p w14:paraId="1C3100A9" w14:textId="77777777" w:rsidR="00FB7501" w:rsidRDefault="00FB7501">
            <w:pPr>
              <w:ind w:left="215"/>
              <w:rPr>
                <w:rFonts w:ascii="CG Times (W1)" w:hAnsi="CG Times (W1)"/>
                <w:sz w:val="16"/>
              </w:rPr>
            </w:pPr>
          </w:p>
        </w:tc>
      </w:tr>
      <w:tr w:rsidR="0089726A" w14:paraId="0ABE1FA8" w14:textId="77777777" w:rsidTr="009A21D8">
        <w:trPr>
          <w:cantSplit/>
        </w:trPr>
        <w:tc>
          <w:tcPr>
            <w:tcW w:w="6787" w:type="dxa"/>
            <w:gridSpan w:val="4"/>
            <w:vMerge/>
            <w:tcBorders>
              <w:left w:val="single" w:sz="18" w:space="0" w:color="auto"/>
              <w:bottom w:val="single" w:sz="6" w:space="0" w:color="auto"/>
            </w:tcBorders>
          </w:tcPr>
          <w:p w14:paraId="70FBB566" w14:textId="77777777" w:rsidR="0089726A" w:rsidRDefault="0089726A">
            <w:pPr>
              <w:ind w:left="215"/>
              <w:rPr>
                <w:rFonts w:ascii="CG Times (W1)" w:hAnsi="CG Times (W1)"/>
                <w:sz w:val="16"/>
              </w:rPr>
            </w:pPr>
          </w:p>
        </w:tc>
        <w:tc>
          <w:tcPr>
            <w:tcW w:w="2843" w:type="dxa"/>
            <w:gridSpan w:val="2"/>
            <w:tcBorders>
              <w:top w:val="single" w:sz="6" w:space="0" w:color="auto"/>
              <w:left w:val="single" w:sz="6" w:space="0" w:color="auto"/>
              <w:right w:val="single" w:sz="18" w:space="0" w:color="auto"/>
            </w:tcBorders>
          </w:tcPr>
          <w:p w14:paraId="036AFFEC" w14:textId="77777777" w:rsidR="0089726A" w:rsidRDefault="0089726A">
            <w:pPr>
              <w:rPr>
                <w:rFonts w:ascii="CG Times (W1)" w:hAnsi="CG Times (W1)"/>
                <w:sz w:val="16"/>
              </w:rPr>
            </w:pPr>
            <w:r>
              <w:rPr>
                <w:rFonts w:ascii="CG Times (W1)" w:hAnsi="CG Times (W1)"/>
                <w:sz w:val="16"/>
              </w:rPr>
              <w:t>11.</w:t>
            </w:r>
            <w:r w:rsidR="00833EF2">
              <w:rPr>
                <w:rFonts w:ascii="CG Times (W1)" w:hAnsi="CG Times (W1)"/>
                <w:sz w:val="16"/>
              </w:rPr>
              <w:t xml:space="preserve"> </w:t>
            </w:r>
            <w:r>
              <w:rPr>
                <w:rFonts w:ascii="CG Times (W1)" w:hAnsi="CG Times (W1)"/>
                <w:sz w:val="16"/>
              </w:rPr>
              <w:t>Contract or Grant No.</w:t>
            </w:r>
          </w:p>
          <w:p w14:paraId="3AE8A992" w14:textId="77777777" w:rsidR="0089726A" w:rsidRDefault="0089726A">
            <w:pPr>
              <w:ind w:left="215"/>
              <w:rPr>
                <w:rFonts w:ascii="CG Times (W1)" w:hAnsi="CG Times (W1)"/>
                <w:sz w:val="16"/>
              </w:rPr>
            </w:pPr>
          </w:p>
        </w:tc>
      </w:tr>
      <w:tr w:rsidR="0089726A" w14:paraId="0BDEE61B" w14:textId="77777777" w:rsidTr="009A21D8">
        <w:trPr>
          <w:cantSplit/>
        </w:trPr>
        <w:tc>
          <w:tcPr>
            <w:tcW w:w="6787" w:type="dxa"/>
            <w:gridSpan w:val="4"/>
            <w:vMerge w:val="restart"/>
            <w:tcBorders>
              <w:left w:val="single" w:sz="18" w:space="0" w:color="auto"/>
            </w:tcBorders>
          </w:tcPr>
          <w:p w14:paraId="3AD12CCC" w14:textId="77777777" w:rsidR="0089726A" w:rsidRDefault="0089726A">
            <w:pPr>
              <w:rPr>
                <w:rFonts w:ascii="CG Times (W1)" w:hAnsi="CG Times (W1)"/>
                <w:sz w:val="16"/>
              </w:rPr>
            </w:pPr>
            <w:r>
              <w:rPr>
                <w:rFonts w:ascii="CG Times (W1)" w:hAnsi="CG Times (W1)"/>
                <w:sz w:val="16"/>
              </w:rPr>
              <w:t>12.</w:t>
            </w:r>
            <w:r w:rsidR="00833EF2">
              <w:rPr>
                <w:rFonts w:ascii="CG Times (W1)" w:hAnsi="CG Times (W1)"/>
                <w:sz w:val="16"/>
              </w:rPr>
              <w:t xml:space="preserve"> </w:t>
            </w:r>
            <w:r>
              <w:rPr>
                <w:rFonts w:ascii="CG Times (W1)" w:hAnsi="CG Times (W1)"/>
                <w:sz w:val="16"/>
              </w:rPr>
              <w:t>Sponsoring Agency Name and Address</w:t>
            </w:r>
          </w:p>
          <w:p w14:paraId="05B073DE" w14:textId="77777777" w:rsidR="0089726A" w:rsidRDefault="0089726A">
            <w:pPr>
              <w:ind w:left="215"/>
              <w:rPr>
                <w:rFonts w:ascii="CG Times (W1)" w:hAnsi="CG Times (W1)"/>
                <w:sz w:val="16"/>
              </w:rPr>
            </w:pPr>
          </w:p>
          <w:p w14:paraId="5D59B263" w14:textId="77777777" w:rsidR="00AC5E4C" w:rsidRPr="00A321F5" w:rsidRDefault="00593119" w:rsidP="00AC5E4C">
            <w:pPr>
              <w:ind w:left="215"/>
              <w:rPr>
                <w:rFonts w:ascii="CG Times (W1)" w:hAnsi="CG Times (W1)"/>
                <w:sz w:val="16"/>
              </w:rPr>
            </w:pPr>
            <w:r>
              <w:rPr>
                <w:rFonts w:ascii="CG Times (W1)" w:hAnsi="CG Times (W1)"/>
                <w:sz w:val="16"/>
              </w:rPr>
              <w:t>National Institute for Transportation and Communities (NITC)</w:t>
            </w:r>
          </w:p>
          <w:p w14:paraId="551D5648" w14:textId="77777777" w:rsidR="00AC5E4C" w:rsidRDefault="00AC5E4C" w:rsidP="00AC5E4C">
            <w:pPr>
              <w:ind w:left="215"/>
              <w:rPr>
                <w:rFonts w:ascii="CG Times (W1)" w:hAnsi="CG Times (W1)"/>
                <w:sz w:val="16"/>
              </w:rPr>
            </w:pPr>
            <w:r>
              <w:rPr>
                <w:rFonts w:ascii="CG Times (W1)" w:hAnsi="CG Times (W1)"/>
                <w:sz w:val="16"/>
              </w:rPr>
              <w:t xml:space="preserve">P.O. Box 751 </w:t>
            </w:r>
          </w:p>
          <w:p w14:paraId="6183EB96" w14:textId="77777777" w:rsidR="0089726A" w:rsidRDefault="00D83830" w:rsidP="00D83830">
            <w:pPr>
              <w:ind w:left="215"/>
              <w:rPr>
                <w:rFonts w:ascii="CG Times (W1)" w:hAnsi="CG Times (W1)"/>
                <w:sz w:val="16"/>
              </w:rPr>
            </w:pPr>
            <w:r>
              <w:rPr>
                <w:rFonts w:ascii="CG Times (W1)" w:hAnsi="CG Times (W1)"/>
                <w:sz w:val="16"/>
              </w:rPr>
              <w:t xml:space="preserve">Portland, </w:t>
            </w:r>
            <w:r w:rsidR="00AC5E4C">
              <w:rPr>
                <w:rFonts w:ascii="CG Times (W1)" w:hAnsi="CG Times (W1)"/>
                <w:sz w:val="16"/>
              </w:rPr>
              <w:t>Oregon 97207</w:t>
            </w:r>
          </w:p>
          <w:p w14:paraId="1CF1B4C2" w14:textId="77777777" w:rsidR="00FB7501" w:rsidRDefault="00FB7501" w:rsidP="00D83830">
            <w:pPr>
              <w:ind w:left="215"/>
              <w:rPr>
                <w:rFonts w:ascii="CG Times (W1)" w:hAnsi="CG Times (W1)"/>
                <w:sz w:val="16"/>
              </w:rPr>
            </w:pPr>
          </w:p>
        </w:tc>
        <w:tc>
          <w:tcPr>
            <w:tcW w:w="2843" w:type="dxa"/>
            <w:gridSpan w:val="2"/>
            <w:tcBorders>
              <w:top w:val="single" w:sz="6" w:space="0" w:color="auto"/>
              <w:left w:val="single" w:sz="6" w:space="0" w:color="auto"/>
              <w:bottom w:val="single" w:sz="6" w:space="0" w:color="auto"/>
              <w:right w:val="single" w:sz="18" w:space="0" w:color="auto"/>
            </w:tcBorders>
          </w:tcPr>
          <w:p w14:paraId="7FB03317" w14:textId="77777777" w:rsidR="0089726A" w:rsidRDefault="0089726A">
            <w:pPr>
              <w:rPr>
                <w:rFonts w:ascii="CG Times (W1)" w:hAnsi="CG Times (W1)"/>
                <w:sz w:val="16"/>
              </w:rPr>
            </w:pPr>
            <w:r>
              <w:rPr>
                <w:rFonts w:ascii="CG Times (W1)" w:hAnsi="CG Times (W1)"/>
                <w:sz w:val="16"/>
              </w:rPr>
              <w:t>13.</w:t>
            </w:r>
            <w:r w:rsidR="00833EF2">
              <w:rPr>
                <w:rFonts w:ascii="CG Times (W1)" w:hAnsi="CG Times (W1)"/>
                <w:sz w:val="16"/>
              </w:rPr>
              <w:t xml:space="preserve"> </w:t>
            </w:r>
            <w:r>
              <w:rPr>
                <w:rFonts w:ascii="CG Times (W1)" w:hAnsi="CG Times (W1)"/>
                <w:sz w:val="16"/>
              </w:rPr>
              <w:t>Type of Report and Period Covered</w:t>
            </w:r>
          </w:p>
          <w:p w14:paraId="25A4F789" w14:textId="77777777" w:rsidR="0089726A" w:rsidRDefault="0089726A">
            <w:pPr>
              <w:ind w:left="215"/>
              <w:rPr>
                <w:rFonts w:ascii="CG Times (W1)" w:hAnsi="CG Times (W1)"/>
                <w:sz w:val="16"/>
              </w:rPr>
            </w:pPr>
          </w:p>
          <w:p w14:paraId="44B9181D" w14:textId="77777777" w:rsidR="00FB7501" w:rsidRDefault="00FB7501">
            <w:pPr>
              <w:ind w:left="215"/>
              <w:rPr>
                <w:rFonts w:ascii="CG Times (W1)" w:hAnsi="CG Times (W1)"/>
                <w:sz w:val="16"/>
              </w:rPr>
            </w:pPr>
          </w:p>
        </w:tc>
      </w:tr>
      <w:tr w:rsidR="0089726A" w14:paraId="03CE5EA8" w14:textId="77777777" w:rsidTr="009A21D8">
        <w:trPr>
          <w:cantSplit/>
        </w:trPr>
        <w:tc>
          <w:tcPr>
            <w:tcW w:w="6787" w:type="dxa"/>
            <w:gridSpan w:val="4"/>
            <w:vMerge/>
            <w:tcBorders>
              <w:left w:val="single" w:sz="18" w:space="0" w:color="auto"/>
              <w:bottom w:val="single" w:sz="6" w:space="0" w:color="auto"/>
            </w:tcBorders>
          </w:tcPr>
          <w:p w14:paraId="012E5DEC" w14:textId="77777777" w:rsidR="0089726A" w:rsidRDefault="0089726A">
            <w:pPr>
              <w:ind w:left="215"/>
              <w:rPr>
                <w:rFonts w:ascii="CG Times (W1)" w:hAnsi="CG Times (W1)"/>
                <w:sz w:val="16"/>
              </w:rPr>
            </w:pPr>
          </w:p>
        </w:tc>
        <w:tc>
          <w:tcPr>
            <w:tcW w:w="2843" w:type="dxa"/>
            <w:gridSpan w:val="2"/>
            <w:tcBorders>
              <w:left w:val="single" w:sz="6" w:space="0" w:color="auto"/>
              <w:bottom w:val="single" w:sz="6" w:space="0" w:color="auto"/>
              <w:right w:val="single" w:sz="18" w:space="0" w:color="auto"/>
            </w:tcBorders>
          </w:tcPr>
          <w:p w14:paraId="6AD5DE7B" w14:textId="77777777" w:rsidR="0089726A" w:rsidRDefault="0089726A">
            <w:pPr>
              <w:rPr>
                <w:rFonts w:ascii="CG Times (W1)" w:hAnsi="CG Times (W1)"/>
                <w:sz w:val="16"/>
              </w:rPr>
            </w:pPr>
            <w:r>
              <w:rPr>
                <w:rFonts w:ascii="CG Times (W1)" w:hAnsi="CG Times (W1)"/>
                <w:sz w:val="16"/>
              </w:rPr>
              <w:t>14.</w:t>
            </w:r>
            <w:r w:rsidR="00833EF2">
              <w:rPr>
                <w:rFonts w:ascii="CG Times (W1)" w:hAnsi="CG Times (W1)"/>
                <w:sz w:val="16"/>
              </w:rPr>
              <w:t xml:space="preserve"> </w:t>
            </w:r>
            <w:r>
              <w:rPr>
                <w:rFonts w:ascii="CG Times (W1)" w:hAnsi="CG Times (W1)"/>
                <w:sz w:val="16"/>
              </w:rPr>
              <w:t>Sponsoring Agency Code</w:t>
            </w:r>
          </w:p>
          <w:p w14:paraId="29C4F3EC" w14:textId="77777777" w:rsidR="0089726A" w:rsidRDefault="0089726A">
            <w:pPr>
              <w:ind w:left="215"/>
              <w:rPr>
                <w:rFonts w:ascii="CG Times (W1)" w:hAnsi="CG Times (W1)"/>
                <w:sz w:val="16"/>
              </w:rPr>
            </w:pPr>
          </w:p>
        </w:tc>
      </w:tr>
      <w:tr w:rsidR="0089726A" w14:paraId="2D106685" w14:textId="77777777" w:rsidTr="009A21D8">
        <w:tc>
          <w:tcPr>
            <w:tcW w:w="9630" w:type="dxa"/>
            <w:gridSpan w:val="6"/>
            <w:tcBorders>
              <w:left w:val="single" w:sz="18" w:space="0" w:color="auto"/>
              <w:right w:val="single" w:sz="18" w:space="0" w:color="auto"/>
            </w:tcBorders>
          </w:tcPr>
          <w:p w14:paraId="1F12162B" w14:textId="77777777" w:rsidR="0089726A" w:rsidRDefault="0089726A" w:rsidP="00FB7501">
            <w:pPr>
              <w:rPr>
                <w:rFonts w:ascii="CG Times (W1)" w:hAnsi="CG Times (W1)"/>
                <w:sz w:val="16"/>
              </w:rPr>
            </w:pPr>
            <w:r>
              <w:rPr>
                <w:rFonts w:ascii="CG Times (W1)" w:hAnsi="CG Times (W1)"/>
                <w:sz w:val="16"/>
              </w:rPr>
              <w:t>15.</w:t>
            </w:r>
            <w:r w:rsidR="00833EF2">
              <w:rPr>
                <w:rFonts w:ascii="CG Times (W1)" w:hAnsi="CG Times (W1)"/>
                <w:sz w:val="16"/>
              </w:rPr>
              <w:t xml:space="preserve"> </w:t>
            </w:r>
            <w:r w:rsidR="00FB7501">
              <w:rPr>
                <w:rFonts w:ascii="CG Times (W1)" w:hAnsi="CG Times (W1)"/>
                <w:sz w:val="16"/>
              </w:rPr>
              <w:t>Supplementary Notes</w:t>
            </w:r>
          </w:p>
          <w:p w14:paraId="13E93FDF" w14:textId="77777777" w:rsidR="0089726A" w:rsidRDefault="0089726A">
            <w:pPr>
              <w:ind w:left="215"/>
              <w:rPr>
                <w:rFonts w:ascii="CG Times (W1)" w:hAnsi="CG Times (W1)"/>
                <w:sz w:val="16"/>
              </w:rPr>
            </w:pPr>
          </w:p>
          <w:p w14:paraId="76441617" w14:textId="77777777" w:rsidR="0089726A" w:rsidRDefault="0089726A">
            <w:pPr>
              <w:ind w:left="215"/>
              <w:rPr>
                <w:rFonts w:ascii="CG Times (W1)" w:hAnsi="CG Times (W1)"/>
                <w:sz w:val="16"/>
              </w:rPr>
            </w:pPr>
          </w:p>
        </w:tc>
      </w:tr>
      <w:tr w:rsidR="0089726A" w14:paraId="54855133" w14:textId="77777777" w:rsidTr="009A21D8">
        <w:trPr>
          <w:trHeight w:val="2802"/>
        </w:trPr>
        <w:tc>
          <w:tcPr>
            <w:tcW w:w="9630" w:type="dxa"/>
            <w:gridSpan w:val="6"/>
            <w:tcBorders>
              <w:top w:val="single" w:sz="6" w:space="0" w:color="auto"/>
              <w:left w:val="single" w:sz="18" w:space="0" w:color="auto"/>
              <w:bottom w:val="single" w:sz="6" w:space="0" w:color="auto"/>
              <w:right w:val="single" w:sz="18" w:space="0" w:color="auto"/>
            </w:tcBorders>
          </w:tcPr>
          <w:p w14:paraId="6939C106" w14:textId="77777777" w:rsidR="0089726A" w:rsidRDefault="0089726A">
            <w:pPr>
              <w:rPr>
                <w:rFonts w:ascii="CG Times (W1)" w:hAnsi="CG Times (W1)"/>
                <w:sz w:val="16"/>
              </w:rPr>
            </w:pPr>
            <w:r>
              <w:rPr>
                <w:rFonts w:ascii="CG Times (W1)" w:hAnsi="CG Times (W1)"/>
                <w:sz w:val="16"/>
              </w:rPr>
              <w:t>16.</w:t>
            </w:r>
            <w:r w:rsidR="00833EF2">
              <w:rPr>
                <w:rFonts w:ascii="CG Times (W1)" w:hAnsi="CG Times (W1)"/>
                <w:sz w:val="16"/>
              </w:rPr>
              <w:t xml:space="preserve"> </w:t>
            </w:r>
            <w:r>
              <w:rPr>
                <w:rFonts w:ascii="CG Times (W1)" w:hAnsi="CG Times (W1)"/>
                <w:sz w:val="16"/>
              </w:rPr>
              <w:t>Abstract</w:t>
            </w:r>
          </w:p>
          <w:p w14:paraId="67AEF2AC" w14:textId="77777777" w:rsidR="0089726A" w:rsidRDefault="0089726A">
            <w:pPr>
              <w:ind w:left="162"/>
              <w:rPr>
                <w:rFonts w:ascii="CG Times (W1)" w:hAnsi="CG Times (W1)"/>
                <w:sz w:val="16"/>
              </w:rPr>
            </w:pPr>
          </w:p>
          <w:p w14:paraId="17314CD0" w14:textId="2DCBFC79" w:rsidR="00EB31B1" w:rsidRPr="00EB31B1" w:rsidRDefault="00EB31B1" w:rsidP="00EB31B1">
            <w:pPr>
              <w:ind w:left="162"/>
              <w:rPr>
                <w:rFonts w:ascii="CG Times (W1)" w:hAnsi="CG Times (W1)"/>
                <w:sz w:val="16"/>
              </w:rPr>
            </w:pPr>
            <w:r>
              <w:rPr>
                <w:rFonts w:ascii="CG Times (W1)" w:hAnsi="CG Times (W1)"/>
                <w:sz w:val="16"/>
              </w:rPr>
              <w:t>This</w:t>
            </w:r>
            <w:r w:rsidRPr="00EB31B1">
              <w:rPr>
                <w:rFonts w:ascii="CG Times (W1)" w:hAnsi="CG Times (W1)"/>
                <w:sz w:val="16"/>
              </w:rPr>
              <w:t xml:space="preserve"> project focuses on making our measures, models, and methods more transferable to other locations. Specifically, we re-evaluate, compare and test our pedestrian index of the environment (PIE) measure using data resources more commonly available to planning agencies across the country. Next, we test the results of PIE and its input data in models of pedestrian mode choice for stability of estimation results within a region (intraregional) and between regions (interregional). This research is the next logical step in the MoPeD’s enhancement and is critical to enabling its utility beyond the Portland region.</w:t>
            </w:r>
          </w:p>
          <w:p w14:paraId="3AB586EB" w14:textId="77777777" w:rsidR="00EB31B1" w:rsidRDefault="00EB31B1" w:rsidP="00EB31B1">
            <w:pPr>
              <w:ind w:left="162"/>
              <w:rPr>
                <w:rFonts w:ascii="CG Times (W1)" w:hAnsi="CG Times (W1)"/>
                <w:sz w:val="16"/>
              </w:rPr>
            </w:pPr>
          </w:p>
          <w:p w14:paraId="595C800F" w14:textId="30E4F62A" w:rsidR="00EB31B1" w:rsidRPr="00EB31B1" w:rsidRDefault="00EB31B1" w:rsidP="00EB31B1">
            <w:pPr>
              <w:ind w:left="162"/>
              <w:rPr>
                <w:rFonts w:ascii="CG Times (W1)" w:hAnsi="CG Times (W1)"/>
                <w:sz w:val="16"/>
              </w:rPr>
            </w:pPr>
            <w:r>
              <w:rPr>
                <w:rFonts w:ascii="CG Times (W1)" w:hAnsi="CG Times (W1)"/>
                <w:sz w:val="16"/>
              </w:rPr>
              <w:t xml:space="preserve">The </w:t>
            </w:r>
            <w:r w:rsidRPr="00EB31B1">
              <w:rPr>
                <w:rFonts w:ascii="CG Times (W1)" w:hAnsi="CG Times (W1)"/>
                <w:sz w:val="16"/>
              </w:rPr>
              <w:t xml:space="preserve">results of this project show that population density and pedestrian connectivity had the most consistent and strong relationship to walk mode choice across </w:t>
            </w:r>
            <w:proofErr w:type="gramStart"/>
            <w:r w:rsidRPr="00EB31B1">
              <w:rPr>
                <w:rFonts w:ascii="CG Times (W1)" w:hAnsi="CG Times (W1)"/>
                <w:sz w:val="16"/>
              </w:rPr>
              <w:t>all of</w:t>
            </w:r>
            <w:proofErr w:type="gramEnd"/>
            <w:r w:rsidRPr="00EB31B1">
              <w:rPr>
                <w:rFonts w:ascii="CG Times (W1)" w:hAnsi="CG Times (W1)"/>
                <w:sz w:val="16"/>
              </w:rPr>
              <w:t xml:space="preserve"> our regions, which echoed the long literature on this topic. However, the other components of the built environment included in PIE had more variability in their ability to explain walk mode choice. Employment density and its subset urban living infrastructure (ULI), intended to capture retail and service access, had less explanatory power and stability in the cities tested. Based upon these findings, we provide several guidelines for the construct of walkability indices, including variables and spatial scales. </w:t>
            </w:r>
          </w:p>
          <w:p w14:paraId="3BC73738" w14:textId="77777777" w:rsidR="00EB31B1" w:rsidRDefault="00EB31B1" w:rsidP="00EB31B1">
            <w:pPr>
              <w:ind w:left="162"/>
              <w:rPr>
                <w:rFonts w:ascii="CG Times (W1)" w:hAnsi="CG Times (W1)"/>
                <w:sz w:val="16"/>
              </w:rPr>
            </w:pPr>
          </w:p>
          <w:p w14:paraId="4CA997A4" w14:textId="5AC46799" w:rsidR="00EB31B1" w:rsidRPr="00EB31B1" w:rsidRDefault="00EB31B1" w:rsidP="00EB31B1">
            <w:pPr>
              <w:ind w:left="162"/>
              <w:rPr>
                <w:rFonts w:ascii="CG Times (W1)" w:hAnsi="CG Times (W1)"/>
                <w:sz w:val="16"/>
              </w:rPr>
            </w:pPr>
            <w:r w:rsidRPr="00EB31B1">
              <w:rPr>
                <w:rFonts w:ascii="CG Times (W1)" w:hAnsi="CG Times (W1)"/>
                <w:sz w:val="16"/>
              </w:rPr>
              <w:t xml:space="preserve">Our findings raise questions about the relationship between walking and the built environment within a region and thus, the intraregional transferability of one walkability index is suspect. Estimation results suggest that there may be different responses to the built environment in lower-density vs. higher density regimes and that these relationships may be nonlinear. However, smaller sample sizes of travel survey data in high density areas in </w:t>
            </w:r>
            <w:proofErr w:type="gramStart"/>
            <w:r w:rsidRPr="00EB31B1">
              <w:rPr>
                <w:rFonts w:ascii="CG Times (W1)" w:hAnsi="CG Times (W1)"/>
                <w:sz w:val="16"/>
              </w:rPr>
              <w:t>all of</w:t>
            </w:r>
            <w:proofErr w:type="gramEnd"/>
            <w:r w:rsidRPr="00EB31B1">
              <w:rPr>
                <w:rFonts w:ascii="CG Times (W1)" w:hAnsi="CG Times (W1)"/>
                <w:sz w:val="16"/>
              </w:rPr>
              <w:t xml:space="preserve"> the US cities tested pose limitations to drawing more confident conclusions from these results. </w:t>
            </w:r>
          </w:p>
          <w:p w14:paraId="21A358AD" w14:textId="77777777" w:rsidR="00EB31B1" w:rsidRDefault="00EB31B1" w:rsidP="00EB31B1">
            <w:pPr>
              <w:ind w:left="162"/>
              <w:rPr>
                <w:rFonts w:ascii="CG Times (W1)" w:hAnsi="CG Times (W1)"/>
                <w:sz w:val="16"/>
              </w:rPr>
            </w:pPr>
          </w:p>
          <w:p w14:paraId="3DA0951D" w14:textId="649E22A1" w:rsidR="0089726A" w:rsidRDefault="00EB31B1" w:rsidP="00EB31B1">
            <w:pPr>
              <w:ind w:left="162"/>
              <w:rPr>
                <w:rFonts w:ascii="CG Times (W1)" w:hAnsi="CG Times (W1)"/>
                <w:sz w:val="16"/>
              </w:rPr>
            </w:pPr>
            <w:r w:rsidRPr="00EB31B1">
              <w:rPr>
                <w:rFonts w:ascii="CG Times (W1)" w:hAnsi="CG Times (W1)"/>
                <w:sz w:val="16"/>
              </w:rPr>
              <w:t>The interregional comparisons of PIE and walk mode share between Los Angeles and Portland showed promise for the use of the index in different regions. In these two regions, model results showed a similar walk mode share for the same values of PIE constructed at the block group level. This provides initial support that the PIEbg construct may be transferrable between metropolitan regions, in part, due to population density's prominent role in PIE.</w:t>
            </w:r>
          </w:p>
        </w:tc>
      </w:tr>
      <w:tr w:rsidR="0089726A" w14:paraId="74AFCC11" w14:textId="77777777" w:rsidTr="009A21D8">
        <w:tc>
          <w:tcPr>
            <w:tcW w:w="5481" w:type="dxa"/>
            <w:gridSpan w:val="2"/>
            <w:tcBorders>
              <w:left w:val="single" w:sz="18" w:space="0" w:color="auto"/>
              <w:bottom w:val="single" w:sz="6" w:space="0" w:color="auto"/>
            </w:tcBorders>
          </w:tcPr>
          <w:p w14:paraId="1988FF4D" w14:textId="77777777" w:rsidR="0089726A" w:rsidRDefault="0089726A">
            <w:pPr>
              <w:rPr>
                <w:rFonts w:ascii="CG Times (W1)" w:hAnsi="CG Times (W1)"/>
                <w:sz w:val="16"/>
              </w:rPr>
            </w:pPr>
            <w:r>
              <w:rPr>
                <w:rFonts w:ascii="CG Times (W1)" w:hAnsi="CG Times (W1)"/>
                <w:sz w:val="16"/>
              </w:rPr>
              <w:t>17.</w:t>
            </w:r>
            <w:r w:rsidR="00833EF2">
              <w:rPr>
                <w:rFonts w:ascii="CG Times (W1)" w:hAnsi="CG Times (W1)"/>
                <w:sz w:val="16"/>
              </w:rPr>
              <w:t xml:space="preserve"> </w:t>
            </w:r>
            <w:r>
              <w:rPr>
                <w:rFonts w:ascii="CG Times (W1)" w:hAnsi="CG Times (W1)"/>
                <w:sz w:val="16"/>
              </w:rPr>
              <w:t>Key Words</w:t>
            </w:r>
          </w:p>
          <w:p w14:paraId="37B6E46C" w14:textId="77777777" w:rsidR="0089726A" w:rsidRDefault="0089726A">
            <w:pPr>
              <w:ind w:left="162"/>
              <w:rPr>
                <w:rFonts w:ascii="CG Times (W1)" w:hAnsi="CG Times (W1)"/>
                <w:sz w:val="16"/>
              </w:rPr>
            </w:pPr>
          </w:p>
          <w:p w14:paraId="7E65C697" w14:textId="77777777" w:rsidR="0089726A" w:rsidRDefault="0089726A">
            <w:pPr>
              <w:ind w:left="162"/>
              <w:rPr>
                <w:rFonts w:ascii="CG Times (W1)" w:hAnsi="CG Times (W1)"/>
                <w:sz w:val="16"/>
              </w:rPr>
            </w:pPr>
          </w:p>
        </w:tc>
        <w:tc>
          <w:tcPr>
            <w:tcW w:w="4149" w:type="dxa"/>
            <w:gridSpan w:val="4"/>
            <w:tcBorders>
              <w:left w:val="single" w:sz="6" w:space="0" w:color="auto"/>
              <w:bottom w:val="single" w:sz="6" w:space="0" w:color="auto"/>
              <w:right w:val="single" w:sz="18" w:space="0" w:color="auto"/>
            </w:tcBorders>
          </w:tcPr>
          <w:p w14:paraId="21809A60" w14:textId="77777777" w:rsidR="0089726A" w:rsidRDefault="0089726A">
            <w:pPr>
              <w:rPr>
                <w:rFonts w:ascii="CG Times (W1)" w:hAnsi="CG Times (W1)"/>
                <w:sz w:val="16"/>
              </w:rPr>
            </w:pPr>
            <w:r>
              <w:rPr>
                <w:rFonts w:ascii="CG Times (W1)" w:hAnsi="CG Times (W1)"/>
                <w:sz w:val="16"/>
              </w:rPr>
              <w:t>18.</w:t>
            </w:r>
            <w:r w:rsidR="00833EF2">
              <w:rPr>
                <w:rFonts w:ascii="CG Times (W1)" w:hAnsi="CG Times (W1)"/>
                <w:sz w:val="16"/>
              </w:rPr>
              <w:t xml:space="preserve"> </w:t>
            </w:r>
            <w:r>
              <w:rPr>
                <w:rFonts w:ascii="CG Times (W1)" w:hAnsi="CG Times (W1)"/>
                <w:sz w:val="16"/>
              </w:rPr>
              <w:t>Distribution Statement</w:t>
            </w:r>
          </w:p>
          <w:p w14:paraId="5DAF10BE" w14:textId="77777777" w:rsidR="009D1A7E" w:rsidRDefault="009D1A7E" w:rsidP="009D1A7E">
            <w:pPr>
              <w:ind w:left="162"/>
              <w:rPr>
                <w:rFonts w:ascii="CG Times (W1)" w:hAnsi="CG Times (W1)"/>
                <w:sz w:val="16"/>
              </w:rPr>
            </w:pPr>
            <w:r>
              <w:rPr>
                <w:rFonts w:ascii="CG Times (W1)" w:hAnsi="CG Times (W1)"/>
                <w:sz w:val="16"/>
              </w:rPr>
              <w:t>No restrictions.</w:t>
            </w:r>
            <w:r w:rsidR="00833EF2">
              <w:rPr>
                <w:rFonts w:ascii="CG Times (W1)" w:hAnsi="CG Times (W1)"/>
                <w:sz w:val="16"/>
              </w:rPr>
              <w:t xml:space="preserve"> </w:t>
            </w:r>
            <w:r>
              <w:rPr>
                <w:rFonts w:ascii="CG Times (W1)" w:hAnsi="CG Times (W1)"/>
                <w:sz w:val="16"/>
              </w:rPr>
              <w:t xml:space="preserve">Copies available from </w:t>
            </w:r>
            <w:r w:rsidR="00792B76">
              <w:rPr>
                <w:rFonts w:ascii="CG Times (W1)" w:hAnsi="CG Times (W1)"/>
                <w:sz w:val="16"/>
              </w:rPr>
              <w:t>NITC</w:t>
            </w:r>
            <w:r>
              <w:rPr>
                <w:rFonts w:ascii="CG Times (W1)" w:hAnsi="CG Times (W1)"/>
                <w:sz w:val="16"/>
              </w:rPr>
              <w:t>:</w:t>
            </w:r>
          </w:p>
          <w:p w14:paraId="202227E3" w14:textId="77777777" w:rsidR="0089726A" w:rsidRDefault="009D1A7E">
            <w:pPr>
              <w:ind w:left="162"/>
              <w:rPr>
                <w:rFonts w:ascii="CG Times (W1)" w:hAnsi="CG Times (W1)"/>
                <w:sz w:val="16"/>
              </w:rPr>
            </w:pPr>
            <w:r>
              <w:rPr>
                <w:rFonts w:ascii="CG Times (W1)" w:hAnsi="CG Times (W1)"/>
                <w:sz w:val="16"/>
              </w:rPr>
              <w:t>www.</w:t>
            </w:r>
            <w:r w:rsidR="00792B76">
              <w:rPr>
                <w:rFonts w:ascii="CG Times (W1)" w:hAnsi="CG Times (W1)"/>
                <w:sz w:val="16"/>
              </w:rPr>
              <w:t>nitc</w:t>
            </w:r>
            <w:r w:rsidR="003B5F56">
              <w:rPr>
                <w:rFonts w:ascii="CG Times (W1)" w:hAnsi="CG Times (W1)"/>
                <w:sz w:val="16"/>
              </w:rPr>
              <w:t>-utc.net</w:t>
            </w:r>
          </w:p>
          <w:p w14:paraId="5960E14A" w14:textId="77777777" w:rsidR="0089726A" w:rsidRDefault="0089726A">
            <w:pPr>
              <w:ind w:left="162"/>
              <w:rPr>
                <w:rFonts w:ascii="CG Times (W1)" w:hAnsi="CG Times (W1)"/>
                <w:sz w:val="16"/>
              </w:rPr>
            </w:pPr>
          </w:p>
        </w:tc>
      </w:tr>
      <w:tr w:rsidR="0089726A" w14:paraId="02CA3EFC" w14:textId="77777777" w:rsidTr="009A21D8">
        <w:trPr>
          <w:trHeight w:val="588"/>
        </w:trPr>
        <w:tc>
          <w:tcPr>
            <w:tcW w:w="3232" w:type="dxa"/>
            <w:tcBorders>
              <w:left w:val="single" w:sz="18" w:space="0" w:color="auto"/>
              <w:bottom w:val="single" w:sz="18" w:space="0" w:color="auto"/>
            </w:tcBorders>
          </w:tcPr>
          <w:p w14:paraId="17348F81" w14:textId="77777777" w:rsidR="0089726A" w:rsidRDefault="0089726A">
            <w:pPr>
              <w:rPr>
                <w:rFonts w:ascii="CG Times (W1)" w:hAnsi="CG Times (W1)"/>
                <w:sz w:val="16"/>
              </w:rPr>
            </w:pPr>
            <w:r>
              <w:rPr>
                <w:rFonts w:ascii="CG Times (W1)" w:hAnsi="CG Times (W1)"/>
                <w:sz w:val="16"/>
              </w:rPr>
              <w:t>19.</w:t>
            </w:r>
            <w:r w:rsidR="00833EF2">
              <w:rPr>
                <w:rFonts w:ascii="CG Times (W1)" w:hAnsi="CG Times (W1)"/>
                <w:sz w:val="16"/>
              </w:rPr>
              <w:t xml:space="preserve"> </w:t>
            </w:r>
            <w:r>
              <w:rPr>
                <w:rFonts w:ascii="CG Times (W1)" w:hAnsi="CG Times (W1)"/>
                <w:sz w:val="16"/>
              </w:rPr>
              <w:t>Security Classification (of this report)</w:t>
            </w:r>
          </w:p>
          <w:p w14:paraId="56720DEC" w14:textId="77777777" w:rsidR="0089726A" w:rsidRDefault="0089726A">
            <w:pPr>
              <w:ind w:left="162"/>
              <w:rPr>
                <w:rFonts w:ascii="CG Times (W1)" w:hAnsi="CG Times (W1)"/>
                <w:sz w:val="16"/>
              </w:rPr>
            </w:pPr>
          </w:p>
          <w:p w14:paraId="708CEA34" w14:textId="77777777" w:rsidR="0089726A" w:rsidRDefault="009D1A7E">
            <w:pPr>
              <w:ind w:left="162"/>
              <w:rPr>
                <w:rFonts w:ascii="CG Times (W1)" w:hAnsi="CG Times (W1)"/>
                <w:sz w:val="16"/>
              </w:rPr>
            </w:pPr>
            <w:r>
              <w:rPr>
                <w:rFonts w:ascii="CG Times (W1)" w:hAnsi="CG Times (W1)"/>
                <w:sz w:val="16"/>
              </w:rPr>
              <w:t>Unclassified</w:t>
            </w:r>
          </w:p>
        </w:tc>
        <w:tc>
          <w:tcPr>
            <w:tcW w:w="2978" w:type="dxa"/>
            <w:gridSpan w:val="2"/>
            <w:tcBorders>
              <w:left w:val="single" w:sz="6" w:space="0" w:color="auto"/>
              <w:bottom w:val="single" w:sz="18" w:space="0" w:color="auto"/>
              <w:right w:val="single" w:sz="6" w:space="0" w:color="auto"/>
            </w:tcBorders>
          </w:tcPr>
          <w:p w14:paraId="6901B411" w14:textId="77777777" w:rsidR="0089726A" w:rsidRDefault="0089726A">
            <w:pPr>
              <w:rPr>
                <w:rFonts w:ascii="CG Times (W1)" w:hAnsi="CG Times (W1)"/>
                <w:sz w:val="16"/>
              </w:rPr>
            </w:pPr>
            <w:r>
              <w:rPr>
                <w:rFonts w:ascii="CG Times (W1)" w:hAnsi="CG Times (W1)"/>
                <w:sz w:val="16"/>
              </w:rPr>
              <w:t>20. Security Classification (of this page)</w:t>
            </w:r>
          </w:p>
          <w:p w14:paraId="0165CEAA" w14:textId="77777777" w:rsidR="0089726A" w:rsidRDefault="0089726A">
            <w:pPr>
              <w:ind w:left="170"/>
              <w:rPr>
                <w:rFonts w:ascii="CG Times (W1)" w:hAnsi="CG Times (W1)"/>
                <w:sz w:val="16"/>
              </w:rPr>
            </w:pPr>
          </w:p>
          <w:p w14:paraId="39B6051C" w14:textId="77777777" w:rsidR="0089726A" w:rsidRDefault="009D1A7E">
            <w:pPr>
              <w:ind w:left="170"/>
              <w:rPr>
                <w:rFonts w:ascii="CG Times (W1)" w:hAnsi="CG Times (W1)"/>
                <w:sz w:val="16"/>
              </w:rPr>
            </w:pPr>
            <w:r>
              <w:rPr>
                <w:rFonts w:ascii="CG Times (W1)" w:hAnsi="CG Times (W1)"/>
                <w:sz w:val="16"/>
              </w:rPr>
              <w:t>Unclassified</w:t>
            </w:r>
          </w:p>
        </w:tc>
        <w:tc>
          <w:tcPr>
            <w:tcW w:w="2340" w:type="dxa"/>
            <w:gridSpan w:val="2"/>
            <w:tcBorders>
              <w:left w:val="nil"/>
              <w:bottom w:val="single" w:sz="18" w:space="0" w:color="auto"/>
            </w:tcBorders>
          </w:tcPr>
          <w:p w14:paraId="16EEC33D" w14:textId="77777777" w:rsidR="0089726A" w:rsidRDefault="0089726A">
            <w:pPr>
              <w:rPr>
                <w:rFonts w:ascii="CG Times (W1)" w:hAnsi="CG Times (W1)"/>
                <w:sz w:val="16"/>
              </w:rPr>
            </w:pPr>
            <w:r>
              <w:rPr>
                <w:rFonts w:ascii="CG Times (W1)" w:hAnsi="CG Times (W1)"/>
                <w:sz w:val="16"/>
              </w:rPr>
              <w:t>21.</w:t>
            </w:r>
            <w:r w:rsidR="00833EF2">
              <w:rPr>
                <w:rFonts w:ascii="CG Times (W1)" w:hAnsi="CG Times (W1)"/>
                <w:sz w:val="16"/>
              </w:rPr>
              <w:t xml:space="preserve"> </w:t>
            </w:r>
            <w:r>
              <w:rPr>
                <w:rFonts w:ascii="CG Times (W1)" w:hAnsi="CG Times (W1)"/>
                <w:sz w:val="16"/>
              </w:rPr>
              <w:t>No. of Pages</w:t>
            </w:r>
          </w:p>
          <w:p w14:paraId="60C4C5B6" w14:textId="77777777" w:rsidR="0089726A" w:rsidRDefault="0089726A">
            <w:pPr>
              <w:ind w:left="215"/>
              <w:rPr>
                <w:rFonts w:ascii="CG Times (W1)" w:hAnsi="CG Times (W1)"/>
                <w:sz w:val="16"/>
              </w:rPr>
            </w:pPr>
          </w:p>
          <w:p w14:paraId="77E1CD0D" w14:textId="77777777" w:rsidR="0089726A" w:rsidRDefault="0089726A">
            <w:pPr>
              <w:ind w:left="215"/>
              <w:rPr>
                <w:rFonts w:ascii="CG Times (W1)" w:hAnsi="CG Times (W1)"/>
                <w:sz w:val="16"/>
              </w:rPr>
            </w:pPr>
          </w:p>
        </w:tc>
        <w:tc>
          <w:tcPr>
            <w:tcW w:w="1080" w:type="dxa"/>
            <w:tcBorders>
              <w:left w:val="single" w:sz="6" w:space="0" w:color="auto"/>
              <w:bottom w:val="single" w:sz="18" w:space="0" w:color="auto"/>
              <w:right w:val="single" w:sz="18" w:space="0" w:color="auto"/>
            </w:tcBorders>
          </w:tcPr>
          <w:p w14:paraId="2C84682E" w14:textId="77777777" w:rsidR="0089726A" w:rsidRDefault="0089726A">
            <w:pPr>
              <w:rPr>
                <w:rFonts w:ascii="CG Times (W1)" w:hAnsi="CG Times (W1)"/>
                <w:sz w:val="16"/>
              </w:rPr>
            </w:pPr>
            <w:r>
              <w:rPr>
                <w:rFonts w:ascii="CG Times (W1)" w:hAnsi="CG Times (W1)"/>
                <w:sz w:val="16"/>
              </w:rPr>
              <w:t>22.</w:t>
            </w:r>
            <w:r w:rsidR="00833EF2">
              <w:rPr>
                <w:rFonts w:ascii="CG Times (W1)" w:hAnsi="CG Times (W1)"/>
                <w:sz w:val="16"/>
              </w:rPr>
              <w:t xml:space="preserve"> </w:t>
            </w:r>
            <w:r>
              <w:rPr>
                <w:rFonts w:ascii="CG Times (W1)" w:hAnsi="CG Times (W1)"/>
                <w:sz w:val="16"/>
              </w:rPr>
              <w:t>Price</w:t>
            </w:r>
          </w:p>
          <w:p w14:paraId="6E9D7B4F" w14:textId="77777777" w:rsidR="0089726A" w:rsidRDefault="0089726A">
            <w:pPr>
              <w:ind w:left="175"/>
              <w:rPr>
                <w:rFonts w:ascii="CG Times (W1)" w:hAnsi="CG Times (W1)"/>
                <w:sz w:val="16"/>
              </w:rPr>
            </w:pPr>
          </w:p>
          <w:p w14:paraId="2A90744C" w14:textId="77777777" w:rsidR="0089726A" w:rsidRDefault="0089726A">
            <w:pPr>
              <w:ind w:left="175"/>
              <w:rPr>
                <w:rFonts w:ascii="CG Times (W1)" w:hAnsi="CG Times (W1)"/>
                <w:sz w:val="16"/>
              </w:rPr>
            </w:pPr>
          </w:p>
        </w:tc>
      </w:tr>
    </w:tbl>
    <w:p w14:paraId="23DF05F1" w14:textId="77777777" w:rsidR="00C931E2" w:rsidRDefault="00C931E2">
      <w:pPr>
        <w:pStyle w:val="Heading6"/>
      </w:pPr>
    </w:p>
    <w:p w14:paraId="6187244A" w14:textId="77777777" w:rsidR="00933714" w:rsidRDefault="00C931E2" w:rsidP="0053209F">
      <w:pPr>
        <w:pStyle w:val="Heading6"/>
      </w:pPr>
      <w:r>
        <w:br w:type="page"/>
      </w:r>
    </w:p>
    <w:p w14:paraId="3DF3B177" w14:textId="6B5EDAC8" w:rsidR="0089726A" w:rsidRDefault="0089726A" w:rsidP="0053209F">
      <w:pPr>
        <w:pStyle w:val="Heading6"/>
      </w:pPr>
      <w:r w:rsidRPr="000D0D60">
        <w:rPr>
          <w:noProof/>
        </w:rPr>
        <w:lastRenderedPageBreak/>
        <w:t>a</w:t>
      </w:r>
      <w:r w:rsidR="005669E7">
        <w:rPr>
          <w:noProof/>
        </w:rPr>
        <w:t>cknowledgments</w:t>
      </w:r>
    </w:p>
    <w:p w14:paraId="48EBF494" w14:textId="77777777" w:rsidR="0089726A" w:rsidRDefault="0089726A"/>
    <w:p w14:paraId="1F129D25" w14:textId="77777777" w:rsidR="00FC3344" w:rsidRDefault="00FC3344" w:rsidP="00FC3344">
      <w:r>
        <w:t>This project was funded by the National Institute for Transportation and Communities (NITC)</w:t>
      </w:r>
    </w:p>
    <w:p w14:paraId="282363F1" w14:textId="41169B1F" w:rsidR="00FC3344" w:rsidRDefault="00FC3344" w:rsidP="00FC3344">
      <w:r>
        <w:t xml:space="preserve">and the City of Tigard, Oregon. The authors thank colleagues from Metro, Portland State University, University of Wisconsin, Milwaukee, </w:t>
      </w:r>
      <w:r w:rsidR="00675836" w:rsidRPr="00740B10">
        <w:t>Polytechnique Montréal</w:t>
      </w:r>
      <w:r w:rsidR="00740B10">
        <w:t>, Technical University of Munich,</w:t>
      </w:r>
      <w:r w:rsidR="00675836">
        <w:t xml:space="preserve"> </w:t>
      </w:r>
      <w:r w:rsidR="00FC3586">
        <w:t xml:space="preserve">and the </w:t>
      </w:r>
      <w:r w:rsidR="00FC3586" w:rsidRPr="00FC3586">
        <w:t>Metropolitan Council, St. Paul, MN</w:t>
      </w:r>
      <w:r w:rsidR="00FC3586">
        <w:t xml:space="preserve">, </w:t>
      </w:r>
      <w:r>
        <w:t>for their insights and interest in this topic.</w:t>
      </w:r>
      <w:r w:rsidR="00675836">
        <w:t xml:space="preserve"> </w:t>
      </w:r>
    </w:p>
    <w:p w14:paraId="70BDE3AC" w14:textId="77777777" w:rsidR="0089726A" w:rsidRDefault="0089726A"/>
    <w:p w14:paraId="3FD4367E" w14:textId="77777777" w:rsidR="0089726A" w:rsidRDefault="0089726A"/>
    <w:p w14:paraId="4B3B6719" w14:textId="77777777" w:rsidR="0089726A" w:rsidRDefault="0089726A">
      <w:pPr>
        <w:pStyle w:val="Heading6"/>
      </w:pPr>
      <w:r>
        <w:t>Disclaimer</w:t>
      </w:r>
    </w:p>
    <w:p w14:paraId="40EF166E" w14:textId="77777777" w:rsidR="0089726A" w:rsidRDefault="0089726A">
      <w:pPr>
        <w:tabs>
          <w:tab w:val="left" w:pos="0"/>
        </w:tabs>
        <w:suppressAutoHyphens/>
        <w:rPr>
          <w:color w:val="000000"/>
        </w:rPr>
      </w:pPr>
    </w:p>
    <w:p w14:paraId="2F3C4677" w14:textId="77777777" w:rsidR="00CD7A98" w:rsidRDefault="00CD7A98" w:rsidP="00CD7A98">
      <w:r w:rsidRPr="00CD7A98">
        <w:t>The contents of this report reflect the views of the authors, who are solely responsible for the facts and the accuracy of the material and information presented herein.</w:t>
      </w:r>
      <w:r w:rsidR="00833EF2">
        <w:t xml:space="preserve"> </w:t>
      </w:r>
      <w:r w:rsidRPr="00CD7A98">
        <w:t xml:space="preserve">This document is disseminated under the sponsorship of the U.S. Department of Transportation University Transportation Centers Program </w:t>
      </w:r>
      <w:r w:rsidR="00FC3586">
        <w:t>and Portland State University</w:t>
      </w:r>
      <w:r w:rsidR="00B16B51" w:rsidRPr="00CD7A98">
        <w:t xml:space="preserve"> </w:t>
      </w:r>
      <w:r w:rsidRPr="00CD7A98">
        <w:t>in the interest of information exchange.</w:t>
      </w:r>
      <w:r w:rsidR="00833EF2">
        <w:t xml:space="preserve"> </w:t>
      </w:r>
      <w:r w:rsidRPr="00CD7A98">
        <w:t xml:space="preserve">The U.S. Government </w:t>
      </w:r>
      <w:r w:rsidR="00FC3586">
        <w:t>and Portland State University</w:t>
      </w:r>
      <w:r w:rsidR="00FC3586" w:rsidRPr="00CD7A98">
        <w:t xml:space="preserve"> </w:t>
      </w:r>
      <w:r w:rsidRPr="00CD7A98">
        <w:t>assume</w:t>
      </w:r>
      <w:r w:rsidR="00D83830">
        <w:t>s</w:t>
      </w:r>
      <w:r w:rsidRPr="00CD7A98">
        <w:t xml:space="preserve"> no liability for the contents or use thereof.</w:t>
      </w:r>
      <w:r w:rsidR="00833EF2">
        <w:t xml:space="preserve"> </w:t>
      </w:r>
      <w:r w:rsidRPr="00CD7A98">
        <w:t>The contents do not necessarily reflect the official views of the U.S. Government</w:t>
      </w:r>
      <w:r w:rsidR="009B006E">
        <w:t xml:space="preserve"> </w:t>
      </w:r>
      <w:r w:rsidR="00FC3586">
        <w:t>and Portland State University</w:t>
      </w:r>
      <w:r w:rsidRPr="00CD7A98">
        <w:t>.</w:t>
      </w:r>
      <w:r w:rsidR="00833EF2">
        <w:t xml:space="preserve"> </w:t>
      </w:r>
      <w:r w:rsidRPr="00CD7A98">
        <w:t>This report does not constitute a standard, specification, or regulation.</w:t>
      </w:r>
    </w:p>
    <w:p w14:paraId="3668082A" w14:textId="77777777" w:rsidR="00CA3F2C" w:rsidRPr="00CD7A98" w:rsidRDefault="00CA3F2C" w:rsidP="00CD7A98"/>
    <w:p w14:paraId="500E114B" w14:textId="77777777" w:rsidR="00541DFE" w:rsidRDefault="00541DFE" w:rsidP="00541DFE">
      <w:pPr>
        <w:pStyle w:val="Heading6"/>
      </w:pPr>
      <w:r>
        <w:t>RECOMMENDED CITATION</w:t>
      </w:r>
    </w:p>
    <w:p w14:paraId="46BA4283" w14:textId="77777777" w:rsidR="00541DFE" w:rsidRDefault="00541DFE" w:rsidP="00541DFE">
      <w:pPr>
        <w:tabs>
          <w:tab w:val="left" w:pos="0"/>
        </w:tabs>
        <w:suppressAutoHyphens/>
        <w:rPr>
          <w:color w:val="000000"/>
        </w:rPr>
      </w:pPr>
    </w:p>
    <w:p w14:paraId="72967461" w14:textId="47BA8311" w:rsidR="00541DFE" w:rsidRPr="00CD7A98" w:rsidRDefault="000D0D60" w:rsidP="00541DFE">
      <w:r>
        <w:t>Clifton, Kelly J; Orrego-Oñate, Jaime; Singleton</w:t>
      </w:r>
      <w:r w:rsidR="00541DFE">
        <w:t>,</w:t>
      </w:r>
      <w:r>
        <w:t xml:space="preserve"> Patrick; and Schneider, Robert.</w:t>
      </w:r>
      <w:r w:rsidR="00541DFE">
        <w:t xml:space="preserve"> </w:t>
      </w:r>
      <w:r w:rsidRPr="000D0D60">
        <w:rPr>
          <w:i/>
        </w:rPr>
        <w:t>Transferability &amp; Forecasting of the Pedestrian Index of the Environment (PIE) for Modeling Applications</w:t>
      </w:r>
      <w:r>
        <w:t>.</w:t>
      </w:r>
      <w:r w:rsidRPr="000D0D60">
        <w:rPr>
          <w:i/>
        </w:rPr>
        <w:t xml:space="preserve"> </w:t>
      </w:r>
      <w:r w:rsidR="00541DFE">
        <w:t>NITC-</w:t>
      </w:r>
      <w:commentRangeStart w:id="1"/>
      <w:r w:rsidR="003C1548">
        <w:t>RR</w:t>
      </w:r>
      <w:commentRangeEnd w:id="1"/>
      <w:r w:rsidR="00EB31B1">
        <w:rPr>
          <w:rStyle w:val="CommentReference"/>
        </w:rPr>
        <w:commentReference w:id="1"/>
      </w:r>
      <w:r w:rsidR="00541DFE">
        <w:t>-</w:t>
      </w:r>
      <w:r w:rsidR="00541DFE" w:rsidRPr="000D0D60">
        <w:rPr>
          <w:highlight w:val="yellow"/>
        </w:rPr>
        <w:t>###</w:t>
      </w:r>
      <w:r w:rsidR="008B3607">
        <w:t xml:space="preserve">. </w:t>
      </w:r>
      <w:r w:rsidR="00361CBD" w:rsidRPr="00361CBD">
        <w:t>Portland, OR: Transportation Research and Education Center (TREC), 2017.</w:t>
      </w:r>
    </w:p>
    <w:p w14:paraId="10FB9072" w14:textId="77777777" w:rsidR="00C931E2" w:rsidRDefault="00C931E2">
      <w:pPr>
        <w:pStyle w:val="Heading6"/>
        <w:spacing w:after="480"/>
      </w:pPr>
    </w:p>
    <w:p w14:paraId="7F5C0C37" w14:textId="77777777" w:rsidR="00933714" w:rsidRDefault="00933714" w:rsidP="0053209F"/>
    <w:p w14:paraId="402D597D" w14:textId="77777777" w:rsidR="00933714" w:rsidRDefault="00933714" w:rsidP="0053209F"/>
    <w:p w14:paraId="2FDC456D" w14:textId="77777777" w:rsidR="00933714" w:rsidRDefault="00933714" w:rsidP="0053209F"/>
    <w:p w14:paraId="046CEF01" w14:textId="77777777" w:rsidR="00933714" w:rsidRDefault="00933714" w:rsidP="0053209F"/>
    <w:p w14:paraId="52DE24CE" w14:textId="77777777" w:rsidR="00933714" w:rsidRDefault="00933714" w:rsidP="0053209F"/>
    <w:p w14:paraId="716D18FC" w14:textId="77777777" w:rsidR="00933714" w:rsidRDefault="00933714" w:rsidP="0053209F"/>
    <w:p w14:paraId="7F1E1B1A" w14:textId="77777777" w:rsidR="00933714" w:rsidRDefault="00933714" w:rsidP="0053209F"/>
    <w:p w14:paraId="7F59E661" w14:textId="77777777" w:rsidR="00933714" w:rsidRDefault="00933714" w:rsidP="0053209F"/>
    <w:p w14:paraId="4DB722B8" w14:textId="77777777" w:rsidR="00933714" w:rsidRDefault="00933714" w:rsidP="0053209F"/>
    <w:p w14:paraId="04333A0C" w14:textId="77777777" w:rsidR="00933714" w:rsidRDefault="00933714" w:rsidP="0053209F"/>
    <w:p w14:paraId="4D4BA436" w14:textId="77777777" w:rsidR="00933714" w:rsidRDefault="00933714" w:rsidP="0053209F"/>
    <w:p w14:paraId="46E5F8E9" w14:textId="77777777" w:rsidR="00933714" w:rsidRDefault="00933714" w:rsidP="0053209F"/>
    <w:p w14:paraId="732EE94C" w14:textId="77777777" w:rsidR="00933714" w:rsidRDefault="00933714" w:rsidP="0053209F"/>
    <w:p w14:paraId="029D92F3" w14:textId="77777777" w:rsidR="00933714" w:rsidRDefault="00933714" w:rsidP="0053209F"/>
    <w:p w14:paraId="5BAE985E" w14:textId="77777777" w:rsidR="00933714" w:rsidRDefault="00933714" w:rsidP="0053209F"/>
    <w:p w14:paraId="445842EB" w14:textId="77777777" w:rsidR="00933714" w:rsidRDefault="00933714" w:rsidP="0053209F"/>
    <w:p w14:paraId="7C1FF7D9" w14:textId="77777777" w:rsidR="00933714" w:rsidRDefault="00933714" w:rsidP="0053209F"/>
    <w:p w14:paraId="3E9BDC56" w14:textId="77777777" w:rsidR="00933714" w:rsidRDefault="00933714" w:rsidP="0053209F"/>
    <w:p w14:paraId="4D1E6015" w14:textId="77777777" w:rsidR="00933714" w:rsidRDefault="00933714" w:rsidP="0053209F"/>
    <w:p w14:paraId="1DE12BC6" w14:textId="082AE1B3" w:rsidR="0089726A" w:rsidRPr="0053209F" w:rsidRDefault="0089726A" w:rsidP="000E1649">
      <w:pPr>
        <w:pStyle w:val="Heading9"/>
        <w:rPr>
          <w:noProof/>
        </w:rPr>
      </w:pPr>
      <w:r w:rsidRPr="0053209F">
        <w:rPr>
          <w:noProof/>
        </w:rPr>
        <w:t>table of contents</w:t>
      </w:r>
    </w:p>
    <w:bookmarkStart w:id="2" w:name="_Toc183234810"/>
    <w:bookmarkStart w:id="3" w:name="_Toc183248471"/>
    <w:bookmarkStart w:id="4" w:name="_Toc185049747"/>
    <w:p w14:paraId="29526FCA" w14:textId="77FB630E" w:rsidR="005A4227" w:rsidRDefault="000E1649">
      <w:pPr>
        <w:pStyle w:val="TOC1"/>
        <w:tabs>
          <w:tab w:val="right" w:leader="dot" w:pos="9350"/>
        </w:tabs>
        <w:rPr>
          <w:rFonts w:asciiTheme="minorHAnsi" w:eastAsiaTheme="minorEastAsia" w:hAnsiTheme="minorHAnsi" w:cstheme="minorBidi"/>
          <w:caps w:val="0"/>
          <w:sz w:val="22"/>
          <w:szCs w:val="22"/>
        </w:rPr>
      </w:pPr>
      <w:r>
        <w:rPr>
          <w:b/>
        </w:rPr>
        <w:fldChar w:fldCharType="begin"/>
      </w:r>
      <w:r>
        <w:rPr>
          <w:b/>
        </w:rPr>
        <w:instrText xml:space="preserve"> TOC \o "1-5" </w:instrText>
      </w:r>
      <w:r>
        <w:rPr>
          <w:b/>
        </w:rPr>
        <w:fldChar w:fldCharType="separate"/>
      </w:r>
      <w:bookmarkStart w:id="5" w:name="_GoBack"/>
      <w:bookmarkEnd w:id="5"/>
      <w:r w:rsidR="005A4227">
        <w:t>ExEcutive Summary</w:t>
      </w:r>
      <w:r w:rsidR="005A4227">
        <w:tab/>
      </w:r>
      <w:r w:rsidR="005A4227">
        <w:fldChar w:fldCharType="begin"/>
      </w:r>
      <w:r w:rsidR="005A4227">
        <w:instrText xml:space="preserve"> PAGEREF _Toc2003596 \h </w:instrText>
      </w:r>
      <w:r w:rsidR="005A4227">
        <w:fldChar w:fldCharType="separate"/>
      </w:r>
      <w:r w:rsidR="005A4227">
        <w:t>1</w:t>
      </w:r>
      <w:r w:rsidR="005A4227">
        <w:fldChar w:fldCharType="end"/>
      </w:r>
    </w:p>
    <w:p w14:paraId="5A9756B9" w14:textId="6705F977"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1.0</w:t>
      </w:r>
      <w:r>
        <w:rPr>
          <w:rFonts w:asciiTheme="minorHAnsi" w:eastAsiaTheme="minorEastAsia" w:hAnsiTheme="minorHAnsi" w:cstheme="minorBidi"/>
          <w:caps w:val="0"/>
          <w:sz w:val="22"/>
          <w:szCs w:val="22"/>
        </w:rPr>
        <w:tab/>
      </w:r>
      <w:r>
        <w:t>Introduction</w:t>
      </w:r>
      <w:r>
        <w:tab/>
      </w:r>
      <w:r>
        <w:fldChar w:fldCharType="begin"/>
      </w:r>
      <w:r>
        <w:instrText xml:space="preserve"> PAGEREF _Toc2003597 \h </w:instrText>
      </w:r>
      <w:r>
        <w:fldChar w:fldCharType="separate"/>
      </w:r>
      <w:r>
        <w:t>2</w:t>
      </w:r>
      <w:r>
        <w:fldChar w:fldCharType="end"/>
      </w:r>
    </w:p>
    <w:p w14:paraId="7AE6D5D7" w14:textId="2A8B7B9D"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2.0</w:t>
      </w:r>
      <w:r>
        <w:rPr>
          <w:rFonts w:asciiTheme="minorHAnsi" w:eastAsiaTheme="minorEastAsia" w:hAnsiTheme="minorHAnsi" w:cstheme="minorBidi"/>
          <w:caps w:val="0"/>
          <w:sz w:val="22"/>
          <w:szCs w:val="22"/>
        </w:rPr>
        <w:tab/>
      </w:r>
      <w:r>
        <w:t>Background</w:t>
      </w:r>
      <w:r>
        <w:tab/>
      </w:r>
      <w:r>
        <w:fldChar w:fldCharType="begin"/>
      </w:r>
      <w:r>
        <w:instrText xml:space="preserve"> PAGEREF _Toc2003598 \h </w:instrText>
      </w:r>
      <w:r>
        <w:fldChar w:fldCharType="separate"/>
      </w:r>
      <w:r>
        <w:t>5</w:t>
      </w:r>
      <w:r>
        <w:fldChar w:fldCharType="end"/>
      </w:r>
    </w:p>
    <w:p w14:paraId="04A682C2" w14:textId="73F73B18"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3.0</w:t>
      </w:r>
      <w:r>
        <w:rPr>
          <w:rFonts w:asciiTheme="minorHAnsi" w:eastAsiaTheme="minorEastAsia" w:hAnsiTheme="minorHAnsi" w:cstheme="minorBidi"/>
          <w:caps w:val="0"/>
          <w:sz w:val="22"/>
          <w:szCs w:val="22"/>
        </w:rPr>
        <w:tab/>
      </w:r>
      <w:r>
        <w:t>PEdestrian Index of the Environment (PIE)</w:t>
      </w:r>
      <w:r>
        <w:tab/>
      </w:r>
      <w:r>
        <w:fldChar w:fldCharType="begin"/>
      </w:r>
      <w:r>
        <w:instrText xml:space="preserve"> PAGEREF _Toc2003599 \h </w:instrText>
      </w:r>
      <w:r>
        <w:fldChar w:fldCharType="separate"/>
      </w:r>
      <w:r>
        <w:t>6</w:t>
      </w:r>
      <w:r>
        <w:fldChar w:fldCharType="end"/>
      </w:r>
    </w:p>
    <w:p w14:paraId="02F30474" w14:textId="0FE4FCF3"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4.0</w:t>
      </w:r>
      <w:r>
        <w:rPr>
          <w:rFonts w:asciiTheme="minorHAnsi" w:eastAsiaTheme="minorEastAsia" w:hAnsiTheme="minorHAnsi" w:cstheme="minorBidi"/>
          <w:caps w:val="0"/>
          <w:sz w:val="22"/>
          <w:szCs w:val="22"/>
        </w:rPr>
        <w:tab/>
      </w:r>
      <w:r>
        <w:t>Data and MEthods for NEW PIE (PIE</w:t>
      </w:r>
      <w:r w:rsidRPr="00AD3F99">
        <w:rPr>
          <w:vertAlign w:val="subscript"/>
        </w:rPr>
        <w:t>bg</w:t>
      </w:r>
      <w:r>
        <w:t>)</w:t>
      </w:r>
      <w:r>
        <w:tab/>
      </w:r>
      <w:r>
        <w:fldChar w:fldCharType="begin"/>
      </w:r>
      <w:r>
        <w:instrText xml:space="preserve"> PAGEREF _Toc2003600 \h </w:instrText>
      </w:r>
      <w:r>
        <w:fldChar w:fldCharType="separate"/>
      </w:r>
      <w:r>
        <w:t>9</w:t>
      </w:r>
      <w:r>
        <w:fldChar w:fldCharType="end"/>
      </w:r>
    </w:p>
    <w:p w14:paraId="3FFE7D8E" w14:textId="0DF31841"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5.0</w:t>
      </w:r>
      <w:r>
        <w:rPr>
          <w:rFonts w:asciiTheme="minorHAnsi" w:eastAsiaTheme="minorEastAsia" w:hAnsiTheme="minorHAnsi" w:cstheme="minorBidi"/>
          <w:caps w:val="0"/>
          <w:sz w:val="22"/>
          <w:szCs w:val="22"/>
        </w:rPr>
        <w:tab/>
      </w:r>
      <w:r>
        <w:t>Testing the transferability of PIE</w:t>
      </w:r>
      <w:r w:rsidRPr="00AD3F99">
        <w:rPr>
          <w:vertAlign w:val="subscript"/>
        </w:rPr>
        <w:t>bg</w:t>
      </w:r>
      <w:r>
        <w:tab/>
      </w:r>
      <w:r>
        <w:fldChar w:fldCharType="begin"/>
      </w:r>
      <w:r>
        <w:instrText xml:space="preserve"> PAGEREF _Toc2003601 \h </w:instrText>
      </w:r>
      <w:r>
        <w:fldChar w:fldCharType="separate"/>
      </w:r>
      <w:r>
        <w:t>12</w:t>
      </w:r>
      <w:r>
        <w:fldChar w:fldCharType="end"/>
      </w:r>
    </w:p>
    <w:p w14:paraId="212378E5" w14:textId="68055319" w:rsidR="005A4227" w:rsidRDefault="005A4227">
      <w:pPr>
        <w:pStyle w:val="TOC2"/>
        <w:rPr>
          <w:rFonts w:asciiTheme="minorHAnsi" w:eastAsiaTheme="minorEastAsia" w:hAnsiTheme="minorHAnsi" w:cstheme="minorBidi"/>
          <w:caps w:val="0"/>
          <w:sz w:val="22"/>
          <w:szCs w:val="22"/>
        </w:rPr>
      </w:pPr>
      <w:r>
        <w:t>5.1</w:t>
      </w:r>
      <w:r>
        <w:rPr>
          <w:rFonts w:asciiTheme="minorHAnsi" w:eastAsiaTheme="minorEastAsia" w:hAnsiTheme="minorHAnsi" w:cstheme="minorBidi"/>
          <w:caps w:val="0"/>
          <w:sz w:val="22"/>
          <w:szCs w:val="22"/>
        </w:rPr>
        <w:tab/>
      </w:r>
      <w:r>
        <w:t>Comparing PIE</w:t>
      </w:r>
      <w:r w:rsidRPr="00AD3F99">
        <w:rPr>
          <w:vertAlign w:val="subscript"/>
        </w:rPr>
        <w:t>bg</w:t>
      </w:r>
      <w:r>
        <w:t xml:space="preserve"> and PIE</w:t>
      </w:r>
      <w:r w:rsidRPr="00AD3F99">
        <w:rPr>
          <w:vertAlign w:val="subscript"/>
        </w:rPr>
        <w:t>0</w:t>
      </w:r>
      <w:r>
        <w:tab/>
      </w:r>
      <w:r>
        <w:fldChar w:fldCharType="begin"/>
      </w:r>
      <w:r>
        <w:instrText xml:space="preserve"> PAGEREF _Toc2003602 \h </w:instrText>
      </w:r>
      <w:r>
        <w:fldChar w:fldCharType="separate"/>
      </w:r>
      <w:r>
        <w:t>12</w:t>
      </w:r>
      <w:r>
        <w:fldChar w:fldCharType="end"/>
      </w:r>
    </w:p>
    <w:p w14:paraId="68E1BE88" w14:textId="2BE89500" w:rsidR="005A4227" w:rsidRDefault="005A4227">
      <w:pPr>
        <w:pStyle w:val="TOC2"/>
        <w:rPr>
          <w:rFonts w:asciiTheme="minorHAnsi" w:eastAsiaTheme="minorEastAsia" w:hAnsiTheme="minorHAnsi" w:cstheme="minorBidi"/>
          <w:caps w:val="0"/>
          <w:sz w:val="22"/>
          <w:szCs w:val="22"/>
        </w:rPr>
      </w:pPr>
      <w:r>
        <w:t>5.2</w:t>
      </w:r>
      <w:r>
        <w:rPr>
          <w:rFonts w:asciiTheme="minorHAnsi" w:eastAsiaTheme="minorEastAsia" w:hAnsiTheme="minorHAnsi" w:cstheme="minorBidi"/>
          <w:caps w:val="0"/>
          <w:sz w:val="22"/>
          <w:szCs w:val="22"/>
        </w:rPr>
        <w:tab/>
      </w:r>
      <w:r>
        <w:t>Intraregional measure transferability</w:t>
      </w:r>
      <w:r>
        <w:tab/>
      </w:r>
      <w:r>
        <w:fldChar w:fldCharType="begin"/>
      </w:r>
      <w:r>
        <w:instrText xml:space="preserve"> PAGEREF _Toc2003603 \h </w:instrText>
      </w:r>
      <w:r>
        <w:fldChar w:fldCharType="separate"/>
      </w:r>
      <w:r>
        <w:t>18</w:t>
      </w:r>
      <w:r>
        <w:fldChar w:fldCharType="end"/>
      </w:r>
    </w:p>
    <w:p w14:paraId="37576357" w14:textId="430BF295" w:rsidR="005A4227" w:rsidRDefault="005A4227">
      <w:pPr>
        <w:pStyle w:val="TOC2"/>
        <w:rPr>
          <w:rFonts w:asciiTheme="minorHAnsi" w:eastAsiaTheme="minorEastAsia" w:hAnsiTheme="minorHAnsi" w:cstheme="minorBidi"/>
          <w:caps w:val="0"/>
          <w:sz w:val="22"/>
          <w:szCs w:val="22"/>
        </w:rPr>
      </w:pPr>
      <w:r>
        <w:t>5.3</w:t>
      </w:r>
      <w:r>
        <w:rPr>
          <w:rFonts w:asciiTheme="minorHAnsi" w:eastAsiaTheme="minorEastAsia" w:hAnsiTheme="minorHAnsi" w:cstheme="minorBidi"/>
          <w:caps w:val="0"/>
          <w:sz w:val="22"/>
          <w:szCs w:val="22"/>
        </w:rPr>
        <w:tab/>
      </w:r>
      <w:r>
        <w:t>Interregional measure transferability</w:t>
      </w:r>
      <w:r>
        <w:tab/>
      </w:r>
      <w:r>
        <w:fldChar w:fldCharType="begin"/>
      </w:r>
      <w:r>
        <w:instrText xml:space="preserve"> PAGEREF _Toc2003604 \h </w:instrText>
      </w:r>
      <w:r>
        <w:fldChar w:fldCharType="separate"/>
      </w:r>
      <w:r>
        <w:t>21</w:t>
      </w:r>
      <w:r>
        <w:fldChar w:fldCharType="end"/>
      </w:r>
    </w:p>
    <w:p w14:paraId="2E8AC4B7" w14:textId="32708114"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6.0</w:t>
      </w:r>
      <w:r>
        <w:rPr>
          <w:rFonts w:asciiTheme="minorHAnsi" w:eastAsiaTheme="minorEastAsia" w:hAnsiTheme="minorHAnsi" w:cstheme="minorBidi"/>
          <w:caps w:val="0"/>
          <w:sz w:val="22"/>
          <w:szCs w:val="22"/>
        </w:rPr>
        <w:tab/>
      </w:r>
      <w:r>
        <w:t>Discussion and conclusions</w:t>
      </w:r>
      <w:r>
        <w:tab/>
      </w:r>
      <w:r>
        <w:fldChar w:fldCharType="begin"/>
      </w:r>
      <w:r>
        <w:instrText xml:space="preserve"> PAGEREF _Toc2003605 \h </w:instrText>
      </w:r>
      <w:r>
        <w:fldChar w:fldCharType="separate"/>
      </w:r>
      <w:r>
        <w:t>27</w:t>
      </w:r>
      <w:r>
        <w:fldChar w:fldCharType="end"/>
      </w:r>
    </w:p>
    <w:p w14:paraId="1CA97E98" w14:textId="6BA98E6F" w:rsidR="005A4227" w:rsidRDefault="005A4227">
      <w:pPr>
        <w:pStyle w:val="TOC2"/>
        <w:rPr>
          <w:rFonts w:asciiTheme="minorHAnsi" w:eastAsiaTheme="minorEastAsia" w:hAnsiTheme="minorHAnsi" w:cstheme="minorBidi"/>
          <w:caps w:val="0"/>
          <w:sz w:val="22"/>
          <w:szCs w:val="22"/>
        </w:rPr>
      </w:pPr>
      <w:r>
        <w:t>6.1</w:t>
      </w:r>
      <w:r>
        <w:rPr>
          <w:rFonts w:asciiTheme="minorHAnsi" w:eastAsiaTheme="minorEastAsia" w:hAnsiTheme="minorHAnsi" w:cstheme="minorBidi"/>
          <w:caps w:val="0"/>
          <w:sz w:val="22"/>
          <w:szCs w:val="22"/>
        </w:rPr>
        <w:tab/>
      </w:r>
      <w:r>
        <w:t>Transferability of models and measures</w:t>
      </w:r>
      <w:r>
        <w:tab/>
      </w:r>
      <w:r>
        <w:fldChar w:fldCharType="begin"/>
      </w:r>
      <w:r>
        <w:instrText xml:space="preserve"> PAGEREF _Toc2003606 \h </w:instrText>
      </w:r>
      <w:r>
        <w:fldChar w:fldCharType="separate"/>
      </w:r>
      <w:r>
        <w:t>27</w:t>
      </w:r>
      <w:r>
        <w:fldChar w:fldCharType="end"/>
      </w:r>
    </w:p>
    <w:p w14:paraId="2D6A4617" w14:textId="04D049B0" w:rsidR="005A4227" w:rsidRDefault="005A4227">
      <w:pPr>
        <w:pStyle w:val="TOC2"/>
        <w:rPr>
          <w:rFonts w:asciiTheme="minorHAnsi" w:eastAsiaTheme="minorEastAsia" w:hAnsiTheme="minorHAnsi" w:cstheme="minorBidi"/>
          <w:caps w:val="0"/>
          <w:sz w:val="22"/>
          <w:szCs w:val="22"/>
        </w:rPr>
      </w:pPr>
      <w:r>
        <w:t>6.2</w:t>
      </w:r>
      <w:r>
        <w:rPr>
          <w:rFonts w:asciiTheme="minorHAnsi" w:eastAsiaTheme="minorEastAsia" w:hAnsiTheme="minorHAnsi" w:cstheme="minorBidi"/>
          <w:caps w:val="0"/>
          <w:sz w:val="22"/>
          <w:szCs w:val="22"/>
        </w:rPr>
        <w:tab/>
      </w:r>
      <w:r>
        <w:t>Representing the built environment</w:t>
      </w:r>
      <w:r>
        <w:tab/>
      </w:r>
      <w:r>
        <w:fldChar w:fldCharType="begin"/>
      </w:r>
      <w:r>
        <w:instrText xml:space="preserve"> PAGEREF _Toc2003607 \h </w:instrText>
      </w:r>
      <w:r>
        <w:fldChar w:fldCharType="separate"/>
      </w:r>
      <w:r>
        <w:t>29</w:t>
      </w:r>
      <w:r>
        <w:fldChar w:fldCharType="end"/>
      </w:r>
    </w:p>
    <w:p w14:paraId="610FB506" w14:textId="6404BFF7" w:rsidR="005A4227" w:rsidRDefault="005A4227">
      <w:pPr>
        <w:pStyle w:val="TOC2"/>
        <w:rPr>
          <w:rFonts w:asciiTheme="minorHAnsi" w:eastAsiaTheme="minorEastAsia" w:hAnsiTheme="minorHAnsi" w:cstheme="minorBidi"/>
          <w:caps w:val="0"/>
          <w:sz w:val="22"/>
          <w:szCs w:val="22"/>
        </w:rPr>
      </w:pPr>
      <w:r>
        <w:t>6.3</w:t>
      </w:r>
      <w:r>
        <w:rPr>
          <w:rFonts w:asciiTheme="minorHAnsi" w:eastAsiaTheme="minorEastAsia" w:hAnsiTheme="minorHAnsi" w:cstheme="minorBidi"/>
          <w:caps w:val="0"/>
          <w:sz w:val="22"/>
          <w:szCs w:val="22"/>
        </w:rPr>
        <w:tab/>
      </w:r>
      <w:r>
        <w:t>Future work</w:t>
      </w:r>
      <w:r>
        <w:tab/>
      </w:r>
      <w:r>
        <w:fldChar w:fldCharType="begin"/>
      </w:r>
      <w:r>
        <w:instrText xml:space="preserve"> PAGEREF _Toc2003608 \h </w:instrText>
      </w:r>
      <w:r>
        <w:fldChar w:fldCharType="separate"/>
      </w:r>
      <w:r>
        <w:t>30</w:t>
      </w:r>
      <w:r>
        <w:fldChar w:fldCharType="end"/>
      </w:r>
    </w:p>
    <w:p w14:paraId="32A08AC3" w14:textId="5F99A1D9" w:rsidR="005A4227" w:rsidRDefault="005A4227">
      <w:pPr>
        <w:pStyle w:val="TOC1"/>
        <w:tabs>
          <w:tab w:val="left" w:pos="720"/>
          <w:tab w:val="right" w:leader="dot" w:pos="9350"/>
        </w:tabs>
        <w:rPr>
          <w:rFonts w:asciiTheme="minorHAnsi" w:eastAsiaTheme="minorEastAsia" w:hAnsiTheme="minorHAnsi" w:cstheme="minorBidi"/>
          <w:caps w:val="0"/>
          <w:sz w:val="22"/>
          <w:szCs w:val="22"/>
        </w:rPr>
      </w:pPr>
      <w:r>
        <w:t>7.0</w:t>
      </w:r>
      <w:r>
        <w:rPr>
          <w:rFonts w:asciiTheme="minorHAnsi" w:eastAsiaTheme="minorEastAsia" w:hAnsiTheme="minorHAnsi" w:cstheme="minorBidi"/>
          <w:caps w:val="0"/>
          <w:sz w:val="22"/>
          <w:szCs w:val="22"/>
        </w:rPr>
        <w:tab/>
      </w:r>
      <w:r>
        <w:t>References</w:t>
      </w:r>
      <w:r>
        <w:tab/>
      </w:r>
      <w:r>
        <w:fldChar w:fldCharType="begin"/>
      </w:r>
      <w:r>
        <w:instrText xml:space="preserve"> PAGEREF _Toc2003609 \h </w:instrText>
      </w:r>
      <w:r>
        <w:fldChar w:fldCharType="separate"/>
      </w:r>
      <w:r>
        <w:t>31</w:t>
      </w:r>
      <w:r>
        <w:fldChar w:fldCharType="end"/>
      </w:r>
    </w:p>
    <w:p w14:paraId="6BA143E7" w14:textId="5E5977B6" w:rsidR="001F3D6C" w:rsidRDefault="000E1649" w:rsidP="001D13FC">
      <w:pPr>
        <w:pStyle w:val="TOC1"/>
      </w:pPr>
      <w:r>
        <w:rPr>
          <w:b/>
        </w:rPr>
        <w:fldChar w:fldCharType="end"/>
      </w:r>
    </w:p>
    <w:bookmarkEnd w:id="2"/>
    <w:bookmarkEnd w:id="3"/>
    <w:bookmarkEnd w:id="4"/>
    <w:p w14:paraId="591FEBF0" w14:textId="77777777" w:rsidR="0045284F" w:rsidRDefault="0045284F">
      <w:pPr>
        <w:pStyle w:val="Heading9"/>
      </w:pPr>
    </w:p>
    <w:p w14:paraId="38AB3F2A" w14:textId="77777777" w:rsidR="0089726A" w:rsidRDefault="0089726A">
      <w:pPr>
        <w:pStyle w:val="Heading9"/>
      </w:pPr>
      <w:r>
        <w:t>List of tables</w:t>
      </w:r>
    </w:p>
    <w:p w14:paraId="1CA2F418" w14:textId="77777777" w:rsidR="0089726A" w:rsidRDefault="0089726A"/>
    <w:p w14:paraId="27791E00" w14:textId="107BF56A" w:rsidR="005A4227" w:rsidRDefault="00675836">
      <w:pPr>
        <w:pStyle w:val="TableofFigures"/>
        <w:tabs>
          <w:tab w:val="right" w:leader="dot" w:pos="9350"/>
        </w:tabs>
        <w:rPr>
          <w:rFonts w:asciiTheme="minorHAnsi" w:eastAsiaTheme="minorEastAsia" w:hAnsiTheme="minorHAnsi" w:cstheme="minorBidi"/>
          <w:noProof/>
          <w:sz w:val="22"/>
          <w:szCs w:val="22"/>
        </w:rPr>
      </w:pPr>
      <w:r>
        <w:rPr>
          <w:b/>
          <w:caps/>
          <w:szCs w:val="24"/>
        </w:rPr>
        <w:fldChar w:fldCharType="begin"/>
      </w:r>
      <w:r>
        <w:rPr>
          <w:b/>
          <w:caps/>
          <w:szCs w:val="24"/>
        </w:rPr>
        <w:instrText xml:space="preserve"> TOC \t "Table Title,1" \c "Table" </w:instrText>
      </w:r>
      <w:r>
        <w:rPr>
          <w:b/>
          <w:caps/>
          <w:szCs w:val="24"/>
        </w:rPr>
        <w:fldChar w:fldCharType="separate"/>
      </w:r>
      <w:r w:rsidR="005A4227">
        <w:rPr>
          <w:noProof/>
        </w:rPr>
        <w:t>Table 1 Binary Logit Models for PIE</w:t>
      </w:r>
      <w:r w:rsidR="005A4227" w:rsidRPr="0092490E">
        <w:rPr>
          <w:noProof/>
          <w:vertAlign w:val="subscript"/>
        </w:rPr>
        <w:t>0</w:t>
      </w:r>
      <w:r w:rsidR="005A4227">
        <w:rPr>
          <w:noProof/>
        </w:rPr>
        <w:tab/>
      </w:r>
      <w:r w:rsidR="005A4227">
        <w:rPr>
          <w:noProof/>
        </w:rPr>
        <w:fldChar w:fldCharType="begin"/>
      </w:r>
      <w:r w:rsidR="005A4227">
        <w:rPr>
          <w:noProof/>
        </w:rPr>
        <w:instrText xml:space="preserve"> PAGEREF _Toc2003590 \h </w:instrText>
      </w:r>
      <w:r w:rsidR="005A4227">
        <w:rPr>
          <w:noProof/>
        </w:rPr>
      </w:r>
      <w:r w:rsidR="005A4227">
        <w:rPr>
          <w:noProof/>
        </w:rPr>
        <w:fldChar w:fldCharType="separate"/>
      </w:r>
      <w:r w:rsidR="005A4227">
        <w:rPr>
          <w:noProof/>
        </w:rPr>
        <w:t>8</w:t>
      </w:r>
      <w:r w:rsidR="005A4227">
        <w:rPr>
          <w:noProof/>
        </w:rPr>
        <w:fldChar w:fldCharType="end"/>
      </w:r>
    </w:p>
    <w:p w14:paraId="6C80A9CF" w14:textId="7641F1A3"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Table 2 PIE</w:t>
      </w:r>
      <w:r w:rsidRPr="0092490E">
        <w:rPr>
          <w:noProof/>
          <w:vertAlign w:val="subscript"/>
        </w:rPr>
        <w:t>bg</w:t>
      </w:r>
      <w:r>
        <w:rPr>
          <w:noProof/>
        </w:rPr>
        <w:t xml:space="preserve"> estimation results: binary logit models of walk mode share</w:t>
      </w:r>
      <w:r>
        <w:rPr>
          <w:noProof/>
        </w:rPr>
        <w:tab/>
      </w:r>
      <w:r>
        <w:rPr>
          <w:noProof/>
        </w:rPr>
        <w:fldChar w:fldCharType="begin"/>
      </w:r>
      <w:r>
        <w:rPr>
          <w:noProof/>
        </w:rPr>
        <w:instrText xml:space="preserve"> PAGEREF _Toc2003591 \h </w:instrText>
      </w:r>
      <w:r>
        <w:rPr>
          <w:noProof/>
        </w:rPr>
      </w:r>
      <w:r>
        <w:rPr>
          <w:noProof/>
        </w:rPr>
        <w:fldChar w:fldCharType="separate"/>
      </w:r>
      <w:r>
        <w:rPr>
          <w:noProof/>
        </w:rPr>
        <w:t>14</w:t>
      </w:r>
      <w:r>
        <w:rPr>
          <w:noProof/>
        </w:rPr>
        <w:fldChar w:fldCharType="end"/>
      </w:r>
    </w:p>
    <w:p w14:paraId="1EFF52CD" w14:textId="399AB601"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Table 3 Estimated weights for each built environment measure for PIE</w:t>
      </w:r>
      <w:r w:rsidRPr="0092490E">
        <w:rPr>
          <w:noProof/>
          <w:vertAlign w:val="subscript"/>
        </w:rPr>
        <w:t>0</w:t>
      </w:r>
      <w:r>
        <w:rPr>
          <w:noProof/>
        </w:rPr>
        <w:t xml:space="preserve"> and PIE</w:t>
      </w:r>
      <w:r w:rsidRPr="0092490E">
        <w:rPr>
          <w:noProof/>
          <w:vertAlign w:val="subscript"/>
        </w:rPr>
        <w:t>bg</w:t>
      </w:r>
      <w:r>
        <w:rPr>
          <w:noProof/>
        </w:rPr>
        <w:tab/>
      </w:r>
      <w:r>
        <w:rPr>
          <w:noProof/>
        </w:rPr>
        <w:fldChar w:fldCharType="begin"/>
      </w:r>
      <w:r>
        <w:rPr>
          <w:noProof/>
        </w:rPr>
        <w:instrText xml:space="preserve"> PAGEREF _Toc2003592 \h </w:instrText>
      </w:r>
      <w:r>
        <w:rPr>
          <w:noProof/>
        </w:rPr>
      </w:r>
      <w:r>
        <w:rPr>
          <w:noProof/>
        </w:rPr>
        <w:fldChar w:fldCharType="separate"/>
      </w:r>
      <w:r>
        <w:rPr>
          <w:noProof/>
        </w:rPr>
        <w:t>14</w:t>
      </w:r>
      <w:r>
        <w:rPr>
          <w:noProof/>
        </w:rPr>
        <w:fldChar w:fldCharType="end"/>
      </w:r>
    </w:p>
    <w:p w14:paraId="44184BD4" w14:textId="343AEFE9"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Table 4 Pooled vs. Urban/Suburban Walk Mode Share Models</w:t>
      </w:r>
      <w:r>
        <w:rPr>
          <w:noProof/>
        </w:rPr>
        <w:tab/>
      </w:r>
      <w:r>
        <w:rPr>
          <w:noProof/>
        </w:rPr>
        <w:fldChar w:fldCharType="begin"/>
      </w:r>
      <w:r>
        <w:rPr>
          <w:noProof/>
        </w:rPr>
        <w:instrText xml:space="preserve"> PAGEREF _Toc2003593 \h </w:instrText>
      </w:r>
      <w:r>
        <w:rPr>
          <w:noProof/>
        </w:rPr>
      </w:r>
      <w:r>
        <w:rPr>
          <w:noProof/>
        </w:rPr>
        <w:fldChar w:fldCharType="separate"/>
      </w:r>
      <w:r>
        <w:rPr>
          <w:noProof/>
        </w:rPr>
        <w:t>20</w:t>
      </w:r>
      <w:r>
        <w:rPr>
          <w:noProof/>
        </w:rPr>
        <w:fldChar w:fldCharType="end"/>
      </w:r>
    </w:p>
    <w:p w14:paraId="7321D72F" w14:textId="36CFAD49"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Table 5 Trip information and built environment measures in each metropolitan area</w:t>
      </w:r>
      <w:r>
        <w:rPr>
          <w:noProof/>
        </w:rPr>
        <w:tab/>
      </w:r>
      <w:r>
        <w:rPr>
          <w:noProof/>
        </w:rPr>
        <w:fldChar w:fldCharType="begin"/>
      </w:r>
      <w:r>
        <w:rPr>
          <w:noProof/>
        </w:rPr>
        <w:instrText xml:space="preserve"> PAGEREF _Toc2003594 \h </w:instrText>
      </w:r>
      <w:r>
        <w:rPr>
          <w:noProof/>
        </w:rPr>
      </w:r>
      <w:r>
        <w:rPr>
          <w:noProof/>
        </w:rPr>
        <w:fldChar w:fldCharType="separate"/>
      </w:r>
      <w:r>
        <w:rPr>
          <w:noProof/>
        </w:rPr>
        <w:t>22</w:t>
      </w:r>
      <w:r>
        <w:rPr>
          <w:noProof/>
        </w:rPr>
        <w:fldChar w:fldCharType="end"/>
      </w:r>
    </w:p>
    <w:p w14:paraId="744917BD" w14:textId="08730B4B"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Table 6 Unscaled PIE</w:t>
      </w:r>
      <w:r w:rsidRPr="0092490E">
        <w:rPr>
          <w:noProof/>
          <w:vertAlign w:val="subscript"/>
        </w:rPr>
        <w:t>bg</w:t>
      </w:r>
      <w:r>
        <w:rPr>
          <w:noProof/>
        </w:rPr>
        <w:t xml:space="preserve"> coefficients estimated from Portland data</w:t>
      </w:r>
      <w:r>
        <w:rPr>
          <w:noProof/>
        </w:rPr>
        <w:tab/>
      </w:r>
      <w:r>
        <w:rPr>
          <w:noProof/>
        </w:rPr>
        <w:fldChar w:fldCharType="begin"/>
      </w:r>
      <w:r>
        <w:rPr>
          <w:noProof/>
        </w:rPr>
        <w:instrText xml:space="preserve"> PAGEREF _Toc2003595 \h </w:instrText>
      </w:r>
      <w:r>
        <w:rPr>
          <w:noProof/>
        </w:rPr>
      </w:r>
      <w:r>
        <w:rPr>
          <w:noProof/>
        </w:rPr>
        <w:fldChar w:fldCharType="separate"/>
      </w:r>
      <w:r>
        <w:rPr>
          <w:noProof/>
        </w:rPr>
        <w:t>25</w:t>
      </w:r>
      <w:r>
        <w:rPr>
          <w:noProof/>
        </w:rPr>
        <w:fldChar w:fldCharType="end"/>
      </w:r>
    </w:p>
    <w:p w14:paraId="178F5A97" w14:textId="242E838A" w:rsidR="0089726A" w:rsidRDefault="00675836">
      <w:pPr>
        <w:pStyle w:val="Equation"/>
        <w:spacing w:after="0"/>
        <w:rPr>
          <w:caps/>
        </w:rPr>
      </w:pPr>
      <w:r>
        <w:rPr>
          <w:b w:val="0"/>
          <w:caps/>
          <w:szCs w:val="24"/>
        </w:rPr>
        <w:fldChar w:fldCharType="end"/>
      </w:r>
    </w:p>
    <w:p w14:paraId="71930820" w14:textId="77777777" w:rsidR="0089726A" w:rsidRDefault="0089726A">
      <w:pPr>
        <w:pStyle w:val="Equation"/>
        <w:spacing w:after="0"/>
        <w:rPr>
          <w:caps/>
        </w:rPr>
      </w:pPr>
    </w:p>
    <w:p w14:paraId="30ABB973" w14:textId="77777777" w:rsidR="0089726A" w:rsidRDefault="0089726A">
      <w:pPr>
        <w:pStyle w:val="Heading9"/>
      </w:pPr>
      <w:r>
        <w:t>List of figures</w:t>
      </w:r>
    </w:p>
    <w:p w14:paraId="46F63423" w14:textId="77777777" w:rsidR="0089726A" w:rsidRDefault="0089726A">
      <w:pPr>
        <w:pStyle w:val="Header"/>
        <w:tabs>
          <w:tab w:val="clear" w:pos="4320"/>
          <w:tab w:val="clear" w:pos="8640"/>
        </w:tabs>
        <w:rPr>
          <w:caps/>
        </w:rPr>
      </w:pPr>
    </w:p>
    <w:p w14:paraId="07F6708A" w14:textId="3E747470" w:rsidR="005A4227" w:rsidRDefault="00675836">
      <w:pPr>
        <w:pStyle w:val="TableofFigures"/>
        <w:tabs>
          <w:tab w:val="right" w:leader="dot" w:pos="9350"/>
        </w:tabs>
        <w:rPr>
          <w:rFonts w:asciiTheme="minorHAnsi" w:eastAsiaTheme="minorEastAsia" w:hAnsiTheme="minorHAnsi" w:cstheme="minorBidi"/>
          <w:noProof/>
          <w:sz w:val="22"/>
          <w:szCs w:val="22"/>
        </w:rPr>
      </w:pPr>
      <w:r>
        <w:rPr>
          <w:b/>
          <w:caps/>
          <w:szCs w:val="24"/>
        </w:rPr>
        <w:fldChar w:fldCharType="begin"/>
      </w:r>
      <w:r>
        <w:rPr>
          <w:b/>
          <w:caps/>
          <w:szCs w:val="24"/>
        </w:rPr>
        <w:instrText xml:space="preserve"> TOC \t "Table Title,1" \c "Figure" </w:instrText>
      </w:r>
      <w:r>
        <w:rPr>
          <w:b/>
          <w:caps/>
          <w:szCs w:val="24"/>
        </w:rPr>
        <w:fldChar w:fldCharType="separate"/>
      </w:r>
      <w:r w:rsidR="005A4227">
        <w:rPr>
          <w:noProof/>
        </w:rPr>
        <w:t>Figure 1 Regional Map of the Built Environment Index PIE</w:t>
      </w:r>
      <w:r w:rsidR="005A4227" w:rsidRPr="00910F9A">
        <w:rPr>
          <w:noProof/>
          <w:vertAlign w:val="subscript"/>
        </w:rPr>
        <w:t>0</w:t>
      </w:r>
      <w:r w:rsidR="005A4227">
        <w:rPr>
          <w:noProof/>
        </w:rPr>
        <w:tab/>
      </w:r>
      <w:r w:rsidR="005A4227">
        <w:rPr>
          <w:noProof/>
        </w:rPr>
        <w:fldChar w:fldCharType="begin"/>
      </w:r>
      <w:r w:rsidR="005A4227">
        <w:rPr>
          <w:noProof/>
        </w:rPr>
        <w:instrText xml:space="preserve"> PAGEREF _Toc2003578 \h </w:instrText>
      </w:r>
      <w:r w:rsidR="005A4227">
        <w:rPr>
          <w:noProof/>
        </w:rPr>
      </w:r>
      <w:r w:rsidR="005A4227">
        <w:rPr>
          <w:noProof/>
        </w:rPr>
        <w:fldChar w:fldCharType="separate"/>
      </w:r>
      <w:r w:rsidR="005A4227">
        <w:rPr>
          <w:noProof/>
        </w:rPr>
        <w:t>9</w:t>
      </w:r>
      <w:r w:rsidR="005A4227">
        <w:rPr>
          <w:noProof/>
        </w:rPr>
        <w:fldChar w:fldCharType="end"/>
      </w:r>
    </w:p>
    <w:p w14:paraId="14480D57" w14:textId="3FD41DB9"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2 Comparison between block groups (bold line) and PAZ (grid) in downtown Portland, OR</w:t>
      </w:r>
      <w:r>
        <w:rPr>
          <w:noProof/>
        </w:rPr>
        <w:tab/>
      </w:r>
      <w:r>
        <w:rPr>
          <w:noProof/>
        </w:rPr>
        <w:fldChar w:fldCharType="begin"/>
      </w:r>
      <w:r>
        <w:rPr>
          <w:noProof/>
        </w:rPr>
        <w:instrText xml:space="preserve"> PAGEREF _Toc2003579 \h </w:instrText>
      </w:r>
      <w:r>
        <w:rPr>
          <w:noProof/>
        </w:rPr>
      </w:r>
      <w:r>
        <w:rPr>
          <w:noProof/>
        </w:rPr>
        <w:fldChar w:fldCharType="separate"/>
      </w:r>
      <w:r>
        <w:rPr>
          <w:noProof/>
        </w:rPr>
        <w:t>11</w:t>
      </w:r>
      <w:r>
        <w:rPr>
          <w:noProof/>
        </w:rPr>
        <w:fldChar w:fldCharType="end"/>
      </w:r>
    </w:p>
    <w:p w14:paraId="2B3486B8" w14:textId="739BFE8C"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3 Distribution of the scaled attributes of the built environment for PIE</w:t>
      </w:r>
      <w:r w:rsidRPr="00910F9A">
        <w:rPr>
          <w:noProof/>
          <w:vertAlign w:val="subscript"/>
        </w:rPr>
        <w:t xml:space="preserve">bg </w:t>
      </w:r>
      <w:r>
        <w:rPr>
          <w:noProof/>
        </w:rPr>
        <w:t>in Portland, OR</w:t>
      </w:r>
      <w:r>
        <w:rPr>
          <w:noProof/>
        </w:rPr>
        <w:tab/>
      </w:r>
      <w:r>
        <w:rPr>
          <w:noProof/>
        </w:rPr>
        <w:fldChar w:fldCharType="begin"/>
      </w:r>
      <w:r>
        <w:rPr>
          <w:noProof/>
        </w:rPr>
        <w:instrText xml:space="preserve"> PAGEREF _Toc2003580 \h </w:instrText>
      </w:r>
      <w:r>
        <w:rPr>
          <w:noProof/>
        </w:rPr>
      </w:r>
      <w:r>
        <w:rPr>
          <w:noProof/>
        </w:rPr>
        <w:fldChar w:fldCharType="separate"/>
      </w:r>
      <w:r>
        <w:rPr>
          <w:noProof/>
        </w:rPr>
        <w:t>13</w:t>
      </w:r>
      <w:r>
        <w:rPr>
          <w:noProof/>
        </w:rPr>
        <w:fldChar w:fldCharType="end"/>
      </w:r>
    </w:p>
    <w:p w14:paraId="1920F898" w14:textId="29DD5EA5"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4 Frequency distribution of PIE</w:t>
      </w:r>
      <w:r w:rsidRPr="00910F9A">
        <w:rPr>
          <w:noProof/>
          <w:vertAlign w:val="subscript"/>
        </w:rPr>
        <w:t>bg</w:t>
      </w:r>
      <w:r>
        <w:rPr>
          <w:noProof/>
        </w:rPr>
        <w:t xml:space="preserve"> scores by block group</w:t>
      </w:r>
      <w:r>
        <w:rPr>
          <w:noProof/>
        </w:rPr>
        <w:tab/>
      </w:r>
      <w:r>
        <w:rPr>
          <w:noProof/>
        </w:rPr>
        <w:fldChar w:fldCharType="begin"/>
      </w:r>
      <w:r>
        <w:rPr>
          <w:noProof/>
        </w:rPr>
        <w:instrText xml:space="preserve"> PAGEREF _Toc2003581 \h </w:instrText>
      </w:r>
      <w:r>
        <w:rPr>
          <w:noProof/>
        </w:rPr>
      </w:r>
      <w:r>
        <w:rPr>
          <w:noProof/>
        </w:rPr>
        <w:fldChar w:fldCharType="separate"/>
      </w:r>
      <w:r>
        <w:rPr>
          <w:noProof/>
        </w:rPr>
        <w:t>15</w:t>
      </w:r>
      <w:r>
        <w:rPr>
          <w:noProof/>
        </w:rPr>
        <w:fldChar w:fldCharType="end"/>
      </w:r>
    </w:p>
    <w:p w14:paraId="20ED9817" w14:textId="7D659EA3"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5 Land percentage by PIE</w:t>
      </w:r>
      <w:r w:rsidRPr="00910F9A">
        <w:rPr>
          <w:noProof/>
          <w:vertAlign w:val="subscript"/>
        </w:rPr>
        <w:t>bg</w:t>
      </w:r>
      <w:r>
        <w:rPr>
          <w:noProof/>
        </w:rPr>
        <w:t xml:space="preserve"> score</w:t>
      </w:r>
      <w:r>
        <w:rPr>
          <w:noProof/>
        </w:rPr>
        <w:tab/>
      </w:r>
      <w:r>
        <w:rPr>
          <w:noProof/>
        </w:rPr>
        <w:fldChar w:fldCharType="begin"/>
      </w:r>
      <w:r>
        <w:rPr>
          <w:noProof/>
        </w:rPr>
        <w:instrText xml:space="preserve"> PAGEREF _Toc2003582 \h </w:instrText>
      </w:r>
      <w:r>
        <w:rPr>
          <w:noProof/>
        </w:rPr>
      </w:r>
      <w:r>
        <w:rPr>
          <w:noProof/>
        </w:rPr>
        <w:fldChar w:fldCharType="separate"/>
      </w:r>
      <w:r>
        <w:rPr>
          <w:noProof/>
        </w:rPr>
        <w:t>15</w:t>
      </w:r>
      <w:r>
        <w:rPr>
          <w:noProof/>
        </w:rPr>
        <w:fldChar w:fldCharType="end"/>
      </w:r>
    </w:p>
    <w:p w14:paraId="55F07F06" w14:textId="691B9258"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6 PIE</w:t>
      </w:r>
      <w:r w:rsidRPr="00910F9A">
        <w:rPr>
          <w:noProof/>
          <w:vertAlign w:val="subscript"/>
        </w:rPr>
        <w:t>bg</w:t>
      </w:r>
      <w:r>
        <w:rPr>
          <w:noProof/>
        </w:rPr>
        <w:t xml:space="preserve"> distribution in Portland</w:t>
      </w:r>
      <w:r>
        <w:rPr>
          <w:noProof/>
        </w:rPr>
        <w:tab/>
      </w:r>
      <w:r>
        <w:rPr>
          <w:noProof/>
        </w:rPr>
        <w:fldChar w:fldCharType="begin"/>
      </w:r>
      <w:r>
        <w:rPr>
          <w:noProof/>
        </w:rPr>
        <w:instrText xml:space="preserve"> PAGEREF _Toc2003583 \h </w:instrText>
      </w:r>
      <w:r>
        <w:rPr>
          <w:noProof/>
        </w:rPr>
      </w:r>
      <w:r>
        <w:rPr>
          <w:noProof/>
        </w:rPr>
        <w:fldChar w:fldCharType="separate"/>
      </w:r>
      <w:r>
        <w:rPr>
          <w:noProof/>
        </w:rPr>
        <w:t>16</w:t>
      </w:r>
      <w:r>
        <w:rPr>
          <w:noProof/>
        </w:rPr>
        <w:fldChar w:fldCharType="end"/>
      </w:r>
    </w:p>
    <w:p w14:paraId="0645ECC3" w14:textId="76AC6659"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7 PIE</w:t>
      </w:r>
      <w:r w:rsidRPr="00910F9A">
        <w:rPr>
          <w:noProof/>
          <w:vertAlign w:val="subscript"/>
        </w:rPr>
        <w:t xml:space="preserve">0 </w:t>
      </w:r>
      <w:r>
        <w:rPr>
          <w:noProof/>
        </w:rPr>
        <w:t>versus PIE</w:t>
      </w:r>
      <w:r w:rsidRPr="00910F9A">
        <w:rPr>
          <w:noProof/>
          <w:vertAlign w:val="subscript"/>
        </w:rPr>
        <w:t>bg</w:t>
      </w:r>
      <w:r>
        <w:rPr>
          <w:noProof/>
        </w:rPr>
        <w:tab/>
      </w:r>
      <w:r>
        <w:rPr>
          <w:noProof/>
        </w:rPr>
        <w:fldChar w:fldCharType="begin"/>
      </w:r>
      <w:r>
        <w:rPr>
          <w:noProof/>
        </w:rPr>
        <w:instrText xml:space="preserve"> PAGEREF _Toc2003584 \h </w:instrText>
      </w:r>
      <w:r>
        <w:rPr>
          <w:noProof/>
        </w:rPr>
      </w:r>
      <w:r>
        <w:rPr>
          <w:noProof/>
        </w:rPr>
        <w:fldChar w:fldCharType="separate"/>
      </w:r>
      <w:r>
        <w:rPr>
          <w:noProof/>
        </w:rPr>
        <w:t>17</w:t>
      </w:r>
      <w:r>
        <w:rPr>
          <w:noProof/>
        </w:rPr>
        <w:fldChar w:fldCharType="end"/>
      </w:r>
    </w:p>
    <w:p w14:paraId="4398B7AD" w14:textId="23208913"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8 PIE</w:t>
      </w:r>
      <w:r w:rsidRPr="00910F9A">
        <w:rPr>
          <w:noProof/>
          <w:vertAlign w:val="subscript"/>
        </w:rPr>
        <w:t>bg</w:t>
      </w:r>
      <w:r>
        <w:rPr>
          <w:noProof/>
        </w:rPr>
        <w:t xml:space="preserve"> aggregated by deciles vs walking share</w:t>
      </w:r>
      <w:r>
        <w:rPr>
          <w:noProof/>
        </w:rPr>
        <w:tab/>
      </w:r>
      <w:r>
        <w:rPr>
          <w:noProof/>
        </w:rPr>
        <w:fldChar w:fldCharType="begin"/>
      </w:r>
      <w:r>
        <w:rPr>
          <w:noProof/>
        </w:rPr>
        <w:instrText xml:space="preserve"> PAGEREF _Toc2003585 \h </w:instrText>
      </w:r>
      <w:r>
        <w:rPr>
          <w:noProof/>
        </w:rPr>
      </w:r>
      <w:r>
        <w:rPr>
          <w:noProof/>
        </w:rPr>
        <w:fldChar w:fldCharType="separate"/>
      </w:r>
      <w:r>
        <w:rPr>
          <w:noProof/>
        </w:rPr>
        <w:t>18</w:t>
      </w:r>
      <w:r>
        <w:rPr>
          <w:noProof/>
        </w:rPr>
        <w:fldChar w:fldCharType="end"/>
      </w:r>
    </w:p>
    <w:p w14:paraId="54CB4296" w14:textId="69DDD030"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9 Predicted walk probabilities</w:t>
      </w:r>
      <w:r>
        <w:rPr>
          <w:noProof/>
        </w:rPr>
        <w:tab/>
      </w:r>
      <w:r>
        <w:rPr>
          <w:noProof/>
        </w:rPr>
        <w:fldChar w:fldCharType="begin"/>
      </w:r>
      <w:r>
        <w:rPr>
          <w:noProof/>
        </w:rPr>
        <w:instrText xml:space="preserve"> PAGEREF _Toc2003586 \h </w:instrText>
      </w:r>
      <w:r>
        <w:rPr>
          <w:noProof/>
        </w:rPr>
      </w:r>
      <w:r>
        <w:rPr>
          <w:noProof/>
        </w:rPr>
        <w:fldChar w:fldCharType="separate"/>
      </w:r>
      <w:r>
        <w:rPr>
          <w:noProof/>
        </w:rPr>
        <w:t>21</w:t>
      </w:r>
      <w:r>
        <w:rPr>
          <w:noProof/>
        </w:rPr>
        <w:fldChar w:fldCharType="end"/>
      </w:r>
    </w:p>
    <w:p w14:paraId="14C64D0F" w14:textId="45A65373"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10 Standardized coefficients for different built environment measures</w:t>
      </w:r>
      <w:r>
        <w:rPr>
          <w:noProof/>
        </w:rPr>
        <w:tab/>
      </w:r>
      <w:r>
        <w:rPr>
          <w:noProof/>
        </w:rPr>
        <w:fldChar w:fldCharType="begin"/>
      </w:r>
      <w:r>
        <w:rPr>
          <w:noProof/>
        </w:rPr>
        <w:instrText xml:space="preserve"> PAGEREF _Toc2003587 \h </w:instrText>
      </w:r>
      <w:r>
        <w:rPr>
          <w:noProof/>
        </w:rPr>
      </w:r>
      <w:r>
        <w:rPr>
          <w:noProof/>
        </w:rPr>
        <w:fldChar w:fldCharType="separate"/>
      </w:r>
      <w:r>
        <w:rPr>
          <w:noProof/>
        </w:rPr>
        <w:t>23</w:t>
      </w:r>
      <w:r>
        <w:rPr>
          <w:noProof/>
        </w:rPr>
        <w:fldChar w:fldCharType="end"/>
      </w:r>
    </w:p>
    <w:p w14:paraId="168706C1" w14:textId="3965E9AC"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11 Unscaled PIE</w:t>
      </w:r>
      <w:r w:rsidRPr="00910F9A">
        <w:rPr>
          <w:noProof/>
          <w:vertAlign w:val="subscript"/>
        </w:rPr>
        <w:t>bg</w:t>
      </w:r>
      <w:r>
        <w:rPr>
          <w:noProof/>
        </w:rPr>
        <w:t xml:space="preserve"> distribution in Los Angeles and Portland</w:t>
      </w:r>
      <w:r>
        <w:rPr>
          <w:noProof/>
        </w:rPr>
        <w:tab/>
      </w:r>
      <w:r>
        <w:rPr>
          <w:noProof/>
        </w:rPr>
        <w:fldChar w:fldCharType="begin"/>
      </w:r>
      <w:r>
        <w:rPr>
          <w:noProof/>
        </w:rPr>
        <w:instrText xml:space="preserve"> PAGEREF _Toc2003588 \h </w:instrText>
      </w:r>
      <w:r>
        <w:rPr>
          <w:noProof/>
        </w:rPr>
      </w:r>
      <w:r>
        <w:rPr>
          <w:noProof/>
        </w:rPr>
        <w:fldChar w:fldCharType="separate"/>
      </w:r>
      <w:r>
        <w:rPr>
          <w:noProof/>
        </w:rPr>
        <w:t>26</w:t>
      </w:r>
      <w:r>
        <w:rPr>
          <w:noProof/>
        </w:rPr>
        <w:fldChar w:fldCharType="end"/>
      </w:r>
    </w:p>
    <w:p w14:paraId="551AC678" w14:textId="7F57820D" w:rsidR="005A4227" w:rsidRDefault="005A4227">
      <w:pPr>
        <w:pStyle w:val="TableofFigures"/>
        <w:tabs>
          <w:tab w:val="right" w:leader="dot" w:pos="9350"/>
        </w:tabs>
        <w:rPr>
          <w:rFonts w:asciiTheme="minorHAnsi" w:eastAsiaTheme="minorEastAsia" w:hAnsiTheme="minorHAnsi" w:cstheme="minorBidi"/>
          <w:noProof/>
          <w:sz w:val="22"/>
          <w:szCs w:val="22"/>
        </w:rPr>
      </w:pPr>
      <w:r>
        <w:rPr>
          <w:noProof/>
        </w:rPr>
        <w:t>Figure 12 The role of walkability gradients</w:t>
      </w:r>
      <w:r>
        <w:rPr>
          <w:noProof/>
        </w:rPr>
        <w:tab/>
      </w:r>
      <w:r>
        <w:rPr>
          <w:noProof/>
        </w:rPr>
        <w:fldChar w:fldCharType="begin"/>
      </w:r>
      <w:r>
        <w:rPr>
          <w:noProof/>
        </w:rPr>
        <w:instrText xml:space="preserve"> PAGEREF _Toc2003589 \h </w:instrText>
      </w:r>
      <w:r>
        <w:rPr>
          <w:noProof/>
        </w:rPr>
      </w:r>
      <w:r>
        <w:rPr>
          <w:noProof/>
        </w:rPr>
        <w:fldChar w:fldCharType="separate"/>
      </w:r>
      <w:r>
        <w:rPr>
          <w:noProof/>
        </w:rPr>
        <w:t>28</w:t>
      </w:r>
      <w:r>
        <w:rPr>
          <w:noProof/>
        </w:rPr>
        <w:fldChar w:fldCharType="end"/>
      </w:r>
    </w:p>
    <w:p w14:paraId="29177B3B" w14:textId="2F9BD2E5" w:rsidR="00933714" w:rsidRPr="00933714" w:rsidRDefault="00675836" w:rsidP="00675836">
      <w:pPr>
        <w:sectPr w:rsidR="00933714" w:rsidRPr="00933714" w:rsidSect="00DA3348">
          <w:footerReference w:type="default" r:id="rId12"/>
          <w:pgSz w:w="12240" w:h="15840" w:code="1"/>
          <w:pgMar w:top="1440" w:right="1440" w:bottom="1440" w:left="1440" w:header="720" w:footer="720" w:gutter="0"/>
          <w:pgNumType w:fmt="lowerRoman" w:start="1"/>
          <w:cols w:space="720"/>
          <w:noEndnote/>
        </w:sectPr>
      </w:pPr>
      <w:r>
        <w:rPr>
          <w:b/>
          <w:caps/>
          <w:szCs w:val="24"/>
        </w:rPr>
        <w:fldChar w:fldCharType="end"/>
      </w:r>
    </w:p>
    <w:p w14:paraId="55B348DC" w14:textId="468910FC" w:rsidR="00C63EEF" w:rsidRDefault="00C63EEF" w:rsidP="00D1654A">
      <w:pPr>
        <w:pStyle w:val="Heading1"/>
        <w:numPr>
          <w:ilvl w:val="0"/>
          <w:numId w:val="0"/>
        </w:numPr>
      </w:pPr>
      <w:bookmarkStart w:id="6" w:name="_Toc2003596"/>
      <w:r w:rsidRPr="000D0D60">
        <w:rPr>
          <w:noProof/>
        </w:rPr>
        <w:lastRenderedPageBreak/>
        <w:t>Ex</w:t>
      </w:r>
      <w:r w:rsidR="005669E7">
        <w:rPr>
          <w:noProof/>
        </w:rPr>
        <w:t>E</w:t>
      </w:r>
      <w:r w:rsidRPr="000D0D60">
        <w:rPr>
          <w:noProof/>
        </w:rPr>
        <w:t>cutive</w:t>
      </w:r>
      <w:r w:rsidRPr="00515549">
        <w:t xml:space="preserve"> Summary</w:t>
      </w:r>
      <w:bookmarkEnd w:id="6"/>
    </w:p>
    <w:p w14:paraId="30879496" w14:textId="71F07599" w:rsidR="00043EA6" w:rsidRDefault="00043EA6" w:rsidP="00043EA6">
      <w:pPr>
        <w:pStyle w:val="BodyText"/>
      </w:pPr>
      <w:r>
        <w:t xml:space="preserve">There have been important advances in non-motorized planning tools in recent years, including the development of the MoPeD pedestrian demand model (Clifton et al., 2013, 2015). This tool and others are increasingly requested by governments and agencies seeking to increase walking activity and create more walkable places. To date, the MoPeD tool has been piloted with success in the Portland region using data unique to Metro, the metropolitan planning organization. However, there is increasing interest from planning agencies </w:t>
      </w:r>
      <w:r w:rsidR="00F1262E">
        <w:t xml:space="preserve">in </w:t>
      </w:r>
      <w:r>
        <w:t xml:space="preserve">adapting the pedestrian modeling tools </w:t>
      </w:r>
      <w:r w:rsidR="0015557D">
        <w:t>and their inputs</w:t>
      </w:r>
      <w:r w:rsidR="00F1262E">
        <w:t xml:space="preserve"> </w:t>
      </w:r>
      <w:r>
        <w:t xml:space="preserve">for use in their own jurisdictions. Unfortunately, other regions often do not have uniform access to the same kinds of pedestrian environment data as Metro, particularly at such a fine-grained scale. </w:t>
      </w:r>
    </w:p>
    <w:p w14:paraId="192F472D" w14:textId="77777777" w:rsidR="008866CA" w:rsidRDefault="00043EA6" w:rsidP="00043EA6">
      <w:pPr>
        <w:pStyle w:val="BodyText"/>
      </w:pPr>
      <w:r>
        <w:t xml:space="preserve">In this next phase of our pedestrian modeling work (see Clifton et al., 2013, 2015), </w:t>
      </w:r>
      <w:r w:rsidR="0015557D">
        <w:t>this project</w:t>
      </w:r>
      <w:r>
        <w:t xml:space="preserve"> focus</w:t>
      </w:r>
      <w:r w:rsidR="0015557D">
        <w:t>es</w:t>
      </w:r>
      <w:r>
        <w:t xml:space="preserve"> on making our measures, models, and methods more transferable to other locations. Specifically, we will re-evaluate, compare and test our pedestrian index of the environment (PIE) measure using data resources more commonly available to planning agencies across the country. Next, we </w:t>
      </w:r>
      <w:r w:rsidR="0015557D">
        <w:t>test the results of PIE and its input data in models of pedestrian mode choice for stability of estimation results within a region (intraregional) and between regions (interregional). This research is the next logical step in the MoPeD’s enhancement and is critical to enabling its utility beyond the Portland region.</w:t>
      </w:r>
    </w:p>
    <w:p w14:paraId="48489417" w14:textId="5662A47F" w:rsidR="008866CA" w:rsidRDefault="008866CA" w:rsidP="008866CA">
      <w:pPr>
        <w:pStyle w:val="BodyText"/>
      </w:pPr>
      <w:r>
        <w:t xml:space="preserve">In terms of index inputs, </w:t>
      </w:r>
      <w:r w:rsidR="00D1654A">
        <w:t>the</w:t>
      </w:r>
      <w:r>
        <w:t xml:space="preserve"> results of this project show that population density </w:t>
      </w:r>
      <w:r w:rsidR="00D1654A">
        <w:t>and pedestrian connectivity had the most</w:t>
      </w:r>
      <w:r>
        <w:t xml:space="preserve"> consistent and strong relationship to walk mode choice across all of our regions, which echoe</w:t>
      </w:r>
      <w:r w:rsidR="00D1654A">
        <w:t>d</w:t>
      </w:r>
      <w:r>
        <w:t xml:space="preserve"> the long literature on this topic. However, </w:t>
      </w:r>
      <w:r w:rsidR="00D1654A">
        <w:t xml:space="preserve">the </w:t>
      </w:r>
      <w:r>
        <w:t xml:space="preserve">other components of the built environment </w:t>
      </w:r>
      <w:r w:rsidR="00D1654A">
        <w:t xml:space="preserve">included in PIE </w:t>
      </w:r>
      <w:r>
        <w:t>ha</w:t>
      </w:r>
      <w:r w:rsidR="00D1654A">
        <w:t>d</w:t>
      </w:r>
      <w:r>
        <w:t xml:space="preserve"> more variability in their ability to explain walk mode choice. Employment density and its subset urban living infrastructure (ULI)</w:t>
      </w:r>
      <w:r w:rsidR="00D1654A">
        <w:t xml:space="preserve">, intended to capture retail and service access, had less explanatory power and stability in the cities tested. Based upon these findings, we provide several guidelines for the construct of walkability indices, including variables and spatial scales. </w:t>
      </w:r>
    </w:p>
    <w:p w14:paraId="12C26FF5" w14:textId="2FABD100" w:rsidR="008866CA" w:rsidRDefault="008866CA" w:rsidP="008866CA">
      <w:pPr>
        <w:pStyle w:val="BodyText"/>
      </w:pPr>
      <w:r>
        <w:t>O</w:t>
      </w:r>
      <w:r w:rsidRPr="008866CA">
        <w:t xml:space="preserve">ur findings raise questions about the relationship between walking and the built environment </w:t>
      </w:r>
      <w:r>
        <w:t>within</w:t>
      </w:r>
      <w:r w:rsidRPr="008866CA">
        <w:t xml:space="preserve"> a region and thus</w:t>
      </w:r>
      <w:r>
        <w:t>,</w:t>
      </w:r>
      <w:r w:rsidRPr="008866CA">
        <w:t xml:space="preserve"> the</w:t>
      </w:r>
      <w:r>
        <w:t xml:space="preserve"> intraregional</w:t>
      </w:r>
      <w:r w:rsidRPr="008866CA">
        <w:t xml:space="preserve"> transferability of </w:t>
      </w:r>
      <w:r>
        <w:t xml:space="preserve">one walkability index is suspect. Estimation results suggest that there may be different responses to the built environment in lower-density vs. higher density regimes and that these relationships may be nonlinear. However, smaller sample sizes of travel survey data in high density areas </w:t>
      </w:r>
      <w:r w:rsidR="00D1654A">
        <w:t xml:space="preserve">in all of the US cities tested </w:t>
      </w:r>
      <w:r>
        <w:t xml:space="preserve">pose limitations to drawing more confident conclusions from these results. </w:t>
      </w:r>
    </w:p>
    <w:p w14:paraId="6D7DC6FD" w14:textId="7A5DAB6A" w:rsidR="00F1262E" w:rsidRDefault="00F1262E" w:rsidP="008866CA">
      <w:pPr>
        <w:pStyle w:val="BodyText"/>
      </w:pPr>
      <w:r>
        <w:t xml:space="preserve">The interregional comparisons of PIE and walk mode share between Los Angeles and Portland showed promise for the use of the index in different regions. In these two regions, model results showed a similar walk mode share for the same values of </w:t>
      </w:r>
      <w:r w:rsidRPr="00F1262E">
        <w:t>PIE</w:t>
      </w:r>
      <w:r>
        <w:t xml:space="preserve"> constructed at the block group level</w:t>
      </w:r>
      <w:r w:rsidRPr="00F1262E">
        <w:t>. This provides initial support that the PIEbg construct may be transferrable between metropolitan regions</w:t>
      </w:r>
      <w:r>
        <w:t xml:space="preserve">, in part, due to population density's prominent role in PIE. </w:t>
      </w:r>
    </w:p>
    <w:p w14:paraId="2C5BF95A" w14:textId="7B435310" w:rsidR="00841816" w:rsidRDefault="0053209F" w:rsidP="00D1654A">
      <w:pPr>
        <w:pStyle w:val="Heading1"/>
      </w:pPr>
      <w:r>
        <w:br w:type="page"/>
      </w:r>
      <w:bookmarkStart w:id="7" w:name="_Toc2003597"/>
      <w:r w:rsidR="00841816">
        <w:lastRenderedPageBreak/>
        <w:t>Introduction</w:t>
      </w:r>
      <w:bookmarkEnd w:id="7"/>
    </w:p>
    <w:p w14:paraId="5F79B55B" w14:textId="40F0DC10" w:rsidR="00B37532" w:rsidRDefault="00B37532" w:rsidP="00B37532">
      <w:pPr>
        <w:pStyle w:val="BodyText"/>
      </w:pPr>
      <w:r>
        <w:t xml:space="preserve">There is a growing demand for tools that can estimate pedestrian activity, forecast future walking levels, and be used for other transportation planning applications. Many metropolitan planning organizations (MPOs), in particular, seek </w:t>
      </w:r>
      <w:r w:rsidR="008144D7">
        <w:t xml:space="preserve">tools to estimate </w:t>
      </w:r>
      <w:r>
        <w:t>pedestrian demand that can provide greater support for planni</w:t>
      </w:r>
      <w:r w:rsidR="002119CC">
        <w:t xml:space="preserve">ng and policy-making activities, including: </w:t>
      </w:r>
      <w:r>
        <w:t xml:space="preserve"> increased sensitivity to pedestrian facilities, land use changes, and the built environment; better accounting for mode shifts and resulting changes in greenhouse gas emissions; more accurate estimates of physical activity levels for health impact assessments and of pedestrian exposure for traffic safety analyses; etc. While not yet widespread, regional travel demand forecasting for pedestrians continues to develop</w:t>
      </w:r>
      <w:r w:rsidR="001379B0">
        <w:t xml:space="preserve"> </w:t>
      </w:r>
      <w:r w:rsidR="001379B0">
        <w:fldChar w:fldCharType="begin"/>
      </w:r>
      <w:r w:rsidR="001379B0">
        <w:instrText xml:space="preserve"> ADDIN ZOTERO_ITEM CSL_CITATION {"citationID":"a1j6uhcs6n4","properties":{"formattedCitation":"(Kuzmyak et al. 2014; Singleton et al. 2018)","plainCitation":"(Kuzmyak et al. 2014; Singleton et al. 2018)"},"citationItems":[{"id":121,"uris":["http://zotero.org/users/4776332/items/AFNQBGXT"],"uri":["http://zotero.org/users/4776332/items/AFNQBGXT"],"itemData":{"id":121,"type":"article-journal","title":"Estimating Bicycling and Walking for Planning and Project Development: A Guidebook","container-title":"NCHRP Report","issue":"770","source":"trid.trb.org","URL":"https://trid.trb.org/view/1320568","ISSN":"0077-5614","shortTitle":"Estimating Bicycling and Walking for Planning and Project Development","author":[{"family":"Kuzmyak","given":"J. Richard"},{"family":"Walters","given":"Jerry"},{"family":"Bradley","given":"Mark"},{"family":"Kockelman","given":"Kara M."}],"issued":{"date-parts":[["2014"]]},"accessed":{"date-parts":[["2018",4,14]]}}},{"id":194,"uris":["http://zotero.org/users/4776332/items/B3AKPDI9"],"uri":["http://zotero.org/users/4776332/items/B3AKPDI9"],"itemData":{"id":194,"type":"article-journal","title":"Making Strides: State-of-the-Practice of Pedestrian Forecasting in Regional Travel Models","container-title":"Transportation Research Record: Journal of the Transportation Research Board","abstract":"Much has changed in the 30 years since non-motorized modes were first included in regional travel demand models. As interest in understanding behavioral influences on walking and policies requiring estimates of walking activity increase, it is important to consider how pedestrian travel is modeled at a regional level. This paper evaluates the state-of-the-practice of modeling walk trips among the largest 48 metropolitan planning organizations (MPOs) and assesses changes made over the last five years. By reviewing model documentation and responses to a survey of MPO modelers, this paper summarizes current practices, describes six pedestrian modeling frameworks, and identifies trends. Three-quarters (75%) of large MPOs now model non-motorized travel, and over two-thirds (69%) of those MPOs distinguish walking from bicycling; these percentages are up from nearly two-thirds (63%) and one-half (47%), respectively, in 2012. This change corresponds with an increase in the deployment of activity-based models, which offer the opportunity to enhance pedestrian modeling techniques. The biggest barrier to more sophisticated models remains a lack of travel survey data on walking behavior, yet some MPOs are starting to overcome this challenge by oversampling potential active travelers. Decision-makers are becoming more interested in analyzing walking and using estimates of walking activity that are output from models for various planning applications. As the practice continues to mature, the near future will likely see smaller scale measures of the pedestrian environment, more detailed zonal and network structures, and possibly even an operational model of pedestrian route choice.","author":[{"family":"Singleton","given":"Patrick A."},{"family":"Totten","given":"Joseph C."},{"family":"Orrego-Oñate","given":"Jaime P."},{"family":"Schneider","given":"Robert J."},{"family":"Clifton","given":"Kelly J."}],"issued":{"date-parts":[["2018"]],"season":"forthcoming in"}}}],"schema":"https://github.com/citation-style-language/schema/raw/master/csl-citation.json"} </w:instrText>
      </w:r>
      <w:r w:rsidR="001379B0">
        <w:fldChar w:fldCharType="separate"/>
      </w:r>
      <w:r w:rsidR="00CA7CDB" w:rsidRPr="00CA7CDB">
        <w:t>(Kuzmyak et al. 2014; Singleton et al. 2018)</w:t>
      </w:r>
      <w:r w:rsidR="001379B0">
        <w:fldChar w:fldCharType="end"/>
      </w:r>
      <w:r w:rsidR="00933714">
        <w:t xml:space="preserve">; </w:t>
      </w:r>
      <w:r>
        <w:t>however, different MPOs have used various ad-hoc techniques that depend on their unique decision support needs, data sources, and modeling capabilities, with little consistency. Other agencies lack the technical capacity and funding to undertake model improvements on their own. Facing this reality, travel model transferab</w:t>
      </w:r>
      <w:r w:rsidR="001379B0">
        <w:t xml:space="preserve">ility is of increasing interest </w:t>
      </w:r>
      <w:r w:rsidR="001379B0">
        <w:fldChar w:fldCharType="begin"/>
      </w:r>
      <w:r w:rsidR="001379B0">
        <w:instrText xml:space="preserve"> ADDIN ZOTERO_ITEM CSL_CITATION {"citationID":"SDGGUevB","properties":{"formattedCitation":"(Rossi and Bhat 2014)","plainCitation":"(Rossi and Bhat 2014)"},"citationItems":[{"id":137,"uris":["http://zotero.org/users/4776332/items/6IX5QXKY"],"uri":["http://zotero.org/users/4776332/items/6IX5QXKY"],"itemData":{"id":137,"type":"article-journal","title":"Guide for Travel Model Transfer","source":"trid.trb.org","URL":"https://trid.trb.org/view/1353320","author":[{"family":"Rossi","given":"Thomas F."},{"family":"Bhat","given":"Chandra R."}],"issued":{"date-parts":[["2014",10]]},"accessed":{"date-parts":[["2018",4,14]]}}}],"schema":"https://github.com/citation-style-language/schema/raw/master/csl-citation.json"} </w:instrText>
      </w:r>
      <w:r w:rsidR="001379B0">
        <w:fldChar w:fldCharType="separate"/>
      </w:r>
      <w:r w:rsidR="00CA7CDB" w:rsidRPr="00CA7CDB">
        <w:t>(Rossi and Bhat 2014)</w:t>
      </w:r>
      <w:r w:rsidR="001379B0">
        <w:fldChar w:fldCharType="end"/>
      </w:r>
      <w:r w:rsidR="001379B0">
        <w:t>.</w:t>
      </w:r>
      <w:r w:rsidR="001B1E4A">
        <w:t xml:space="preserve"> </w:t>
      </w:r>
      <w:r>
        <w:t>A framework for modeling pedestrian demand with consistent data inputs that can be more easily transferred between regions would be of great value to practitioners, especially those at agencies with limited resources.</w:t>
      </w:r>
    </w:p>
    <w:p w14:paraId="5B2F3EB8" w14:textId="115B8511" w:rsidR="00B37532" w:rsidRDefault="00B37532" w:rsidP="00B37532">
      <w:pPr>
        <w:pStyle w:val="BodyText"/>
      </w:pPr>
      <w:r>
        <w:t xml:space="preserve">Despite a long history of research documenting relationships between walking and environmental conditions—including effects of the built environment—models used in practice lag in their representation of the pedestrian environment. Pedestrian travel has been positively related to higher residential and employment densities, greater land use mix or diversity, more connected networks or higher intersection densities, greater accessibility to transit, and sidewalk and crossing conditions (e.g., </w:t>
      </w:r>
      <w:r w:rsidR="001379B0">
        <w:fldChar w:fldCharType="begin"/>
      </w:r>
      <w:r w:rsidR="00143E33">
        <w:instrText xml:space="preserve"> ADDIN ZOTERO_ITEM CSL_CITATION {"citationID":"OmYpJVsM","properties":{"formattedCitation":"(Saelens and Handy 2008)","plainCitation":"(Saelens and Handy 2008)"},"citationItems":[{"id":125,"uris":["http://zotero.org/users/4776332/items/GQWAX936"],"uri":["http://zotero.org/users/4776332/items/GQWAX936"],"itemData":{"id":125,"type":"article-journal","title":"Built Environment Correlates of Walking: A Review","container-title":"Medicine and science in sports and exercise","page":"S550-S566","volume":"40","issue":"7 Suppl","source":"PubMed Central","abstract":"Introduction\nThe past decade has seen a dramatic increase in the empirical investigation into the relations between built environmental and physical activity. To create places that facilitate and encourage walking, practitioners need an understanding of the specific characteristics of the built environment that correlate most strongly with walking. This paper reviews evidence on the built environment correlates with walking.\n\nMethod\nIncluded in this review were 13 reviews published between 2002 and 2006 and 29 original studies published in 2005 and up through May 2006. Results were summarized based on specific characteristics of the built environment and transportation walking versus recreational walking.\n\nResults\nPrevious reviews and newer studies document consistent positive relations between walking for transportation and density, distance to non-residential destinations, and land use mix; findings for route/network connectivity, parks and open space, and personal safety are more equivocal. Results regarding recreational walking were less clear.\n\nConclusions\nMore recent evidence supports the conclusions of prior reviews, and new studies address some of the limitations of earlier studies. Although prospective studies are needed, evidence on correlates appears sufficient to support policy changes.","DOI":"10.1249/MSS.0b013e31817c67a4","ISSN":"0195-9131","note":"PMID: 18562973\nPMCID: PMC2921187","shortTitle":"Built Environment Correlates of Walking","journalAbbreviation":"Med Sci Sports Exerc","author":[{"family":"Saelens","given":"Brian E."},{"family":"Handy","given":"Susan L."}],"issued":{"date-parts":[["2008",7]]}}}],"schema":"https://github.com/citation-style-language/schema/raw/master/csl-citation.json"} </w:instrText>
      </w:r>
      <w:r w:rsidR="001379B0">
        <w:fldChar w:fldCharType="separate"/>
      </w:r>
      <w:r w:rsidR="00143E33" w:rsidRPr="00143E33">
        <w:t>Saelens and Handy 2008)</w:t>
      </w:r>
      <w:r w:rsidR="001379B0">
        <w:fldChar w:fldCharType="end"/>
      </w:r>
      <w:r w:rsidR="001379B0">
        <w:t>.</w:t>
      </w:r>
      <w:r w:rsidR="001B1E4A">
        <w:t xml:space="preserve"> </w:t>
      </w:r>
      <w:r>
        <w:t xml:space="preserve">Yet, most MPO regional models use only rough density measures to predict pedestrian demand </w:t>
      </w:r>
      <w:r w:rsidR="001379B0">
        <w:fldChar w:fldCharType="begin"/>
      </w:r>
      <w:r w:rsidR="001379B0">
        <w:instrText xml:space="preserve"> ADDIN ZOTERO_ITEM CSL_CITATION {"citationID":"fh7kUorg","properties":{"formattedCitation":"(Singleton et al. 2018)","plainCitation":"(Singleton et al. 2018)"},"citationItems":[{"id":194,"uris":["http://zotero.org/users/4776332/items/B3AKPDI9"],"uri":["http://zotero.org/users/4776332/items/B3AKPDI9"],"itemData":{"id":194,"type":"article-journal","title":"Making Strides: State-of-the-Practice of Pedestrian Forecasting in Regional Travel Models","container-title":"Transportation Research Record: Journal of the Transportation Research Board","abstract":"Much has changed in the 30 years since non-motorized modes were first included in regional travel demand models. As interest in understanding behavioral influences on walking and policies requiring estimates of walking activity increase, it is important to consider how pedestrian travel is modeled at a regional level. This paper evaluates the state-of-the-practice of modeling walk trips among the largest 48 metropolitan planning organizations (MPOs) and assesses changes made over the last five years. By reviewing model documentation and responses to a survey of MPO modelers, this paper summarizes current practices, describes six pedestrian modeling frameworks, and identifies trends. Three-quarters (75%) of large MPOs now model non-motorized travel, and over two-thirds (69%) of those MPOs distinguish walking from bicycling; these percentages are up from nearly two-thirds (63%) and one-half (47%), respectively, in 2012. This change corresponds with an increase in the deployment of activity-based models, which offer the opportunity to enhance pedestrian modeling techniques. The biggest barrier to more sophisticated models remains a lack of travel survey data on walking behavior, yet some MPOs are starting to overcome this challenge by oversampling potential active travelers. Decision-makers are becoming more interested in analyzing walking and using estimates of walking activity that are output from models for various planning applications. As the practice continues to mature, the near future will likely see smaller scale measures of the pedestrian environment, more detailed zonal and network structures, and possibly even an operational model of pedestrian route choice.","author":[{"family":"Singleton","given":"Patrick A."},{"family":"Totten","given":"Joseph C."},{"family":"Orrego-Oñate","given":"Jaime P."},{"family":"Schneider","given":"Robert J."},{"family":"Clifton","given":"Kelly J."}],"issued":{"date-parts":[["2018"]],"season":"forthcoming in"}}}],"schema":"https://github.com/citation-style-language/schema/raw/master/csl-citation.json"} </w:instrText>
      </w:r>
      <w:r w:rsidR="001379B0">
        <w:fldChar w:fldCharType="separate"/>
      </w:r>
      <w:r w:rsidR="00CA7CDB" w:rsidRPr="00CA7CDB">
        <w:t>(Singleton et al. 2018)</w:t>
      </w:r>
      <w:r w:rsidR="001379B0">
        <w:fldChar w:fldCharType="end"/>
      </w:r>
      <w:r w:rsidR="001379B0">
        <w:t xml:space="preserve">. </w:t>
      </w:r>
      <w:r>
        <w:t>While the lack of pedestrian-sensitive built environment data w</w:t>
      </w:r>
      <w:r w:rsidR="00ED5A86">
        <w:t>as</w:t>
      </w:r>
      <w:r>
        <w:t xml:space="preserve"> a barrier in the past, today fine-grained archived spatial datasets are becoming more widely available, including point-, </w:t>
      </w:r>
      <w:r w:rsidRPr="000D0D60">
        <w:rPr>
          <w:noProof/>
        </w:rPr>
        <w:t>parcel-</w:t>
      </w:r>
      <w:r>
        <w:t>, or block-level measures of the pedestrian environment. This has led to the development of a number of measures of the pedestrian environment, including the</w:t>
      </w:r>
      <w:r w:rsidR="002F66A1">
        <w:t xml:space="preserve"> Pedestri</w:t>
      </w:r>
      <w:r w:rsidR="00026016">
        <w:t>an Index of the Environment</w:t>
      </w:r>
      <w:r w:rsidR="002F66A1">
        <w:t xml:space="preserve">, </w:t>
      </w:r>
      <w:r w:rsidR="001379B0">
        <w:fldChar w:fldCharType="begin"/>
      </w:r>
      <w:r w:rsidR="001379B0">
        <w:instrText xml:space="preserve"> ADDIN ZOTERO_ITEM CSL_CITATION {"citationID":"bU4HSXLR","properties":{"formattedCitation":"(Singleton et al. 2014)","plainCitation":"(Singleton et al. 2014)"},"citationItems":[{"id":139,"uris":["http://zotero.org/users/4776332/items/WHNR45EK"],"uri":["http://zotero.org/users/4776332/items/WHNR45EK"],"itemData":{"id":139,"type":"paper-conference","title":"The Pedestrian Index of the Environment: Representing the Walking Environment in Planning Applications","source":"trid.trb.org","event":"Transportation Research Board 93rd Annual MeetingTransportation Research Board","URL":"https://trid.trb.org/view/1289281","shortTitle":"The Pedestrian Index of the Environment","author":[{"family":"Singleton","given":"Patrick A."},{"family":"Schneider","given":"Robert J."},{"family":"Muhs","given":"Christopher"},{"family":"Clifton","given":"Kelly J."}],"issued":{"date-parts":[["2014"]]},"accessed":{"date-parts":[["2018",4,14]]}}}],"schema":"https://github.com/citation-style-language/schema/raw/master/csl-citation.json"} </w:instrText>
      </w:r>
      <w:r w:rsidR="001379B0">
        <w:fldChar w:fldCharType="separate"/>
      </w:r>
      <w:r w:rsidR="00CA7CDB" w:rsidRPr="00CA7CDB">
        <w:t>(Singleton et al. 2014)</w:t>
      </w:r>
      <w:r w:rsidR="001379B0">
        <w:fldChar w:fldCharType="end"/>
      </w:r>
      <w:r w:rsidR="001379B0">
        <w:t xml:space="preserve">, </w:t>
      </w:r>
      <w:r w:rsidR="001B1E4A">
        <w:t xml:space="preserve">the Pedestrian Environment Factor </w:t>
      </w:r>
      <w:r w:rsidR="00F95FE9">
        <w:fldChar w:fldCharType="begin"/>
      </w:r>
      <w:r w:rsidR="00F95FE9">
        <w:instrText xml:space="preserve"> ADDIN ZOTERO_ITEM CSL_CITATION {"citationID":"lBVCMvEJ","properties":{"formattedCitation":"(Greenwald and Boarnet 2001)","plainCitation":"(Greenwald and Boarnet 2001)"},"citationItems":[{"id":210,"uris":["http://zotero.org/users/4776332/items/FPEUMEQ4"],"uri":["http://zotero.org/users/4776332/items/FPEUMEQ4"],"itemData":{"id":210,"type":"article-journal","title":"Built Environment as Determinant of Walking Behavior: Analyzing Nonwork Pedestrian Travel in Portland, Oregon","container-title":"Transportation Research Record: Journal of the Transportation Research Board","page":"33-41","volume":"1780","source":"trrjournalonline.trb.org (Atypon)","abstract":"Much has been written about the connection between land use/urban form and transportation from the perspective of affecting automobile trip generation. This addresses only half the issue. The theoretical advances in land use-transportation relationships embodied in paradigms such as the jobs-housing balance, neotraditional design standards, and transitoriented development rely very heavily on the generation of pedestrian traffic to realize their proposed benefits. The present analysis uses models and data sets similar to those used in previous work for the Portland, Oregon, area but applies them toward analysis of nonwork walking travel. The results suggest that regardless of the effects that land use has on individual nonwork walking trip generation, the impacts take place at the neighborhood level.","DOI":"10.3141/1780-05","ISSN":"0361-1981","shortTitle":"Built Environment as Determinant of Walking Behavior","journalAbbreviation":"Transportation Research Record: Journal of the Transportation Research Board","author":[{"family":"Greenwald","given":"Michael"},{"family":"Boarnet","given":"Marlon"}],"issued":{"date-parts":[["2001",1,1]]}}}],"schema":"https://github.com/citation-style-language/schema/raw/master/csl-citation.json"} </w:instrText>
      </w:r>
      <w:r w:rsidR="00F95FE9">
        <w:fldChar w:fldCharType="separate"/>
      </w:r>
      <w:r w:rsidR="00F95FE9" w:rsidRPr="00F95FE9">
        <w:t>(Greenwald and Boarnet 2001)</w:t>
      </w:r>
      <w:r w:rsidR="00F95FE9">
        <w:fldChar w:fldCharType="end"/>
      </w:r>
      <w:r>
        <w:t xml:space="preserve">, the Pedestrian Environment Index </w:t>
      </w:r>
      <w:r w:rsidR="001379B0">
        <w:fldChar w:fldCharType="begin"/>
      </w:r>
      <w:r w:rsidR="00CA7CDB">
        <w:instrText xml:space="preserve"> ADDIN ZOTERO_ITEM CSL_CITATION {"citationID":"L3vnWUwD","properties":{"formattedCitation":"(Peiravian et al. 2014)","plainCitation":"(Peiravian et al. 2014)"},"citationItems":[{"id":128,"uris":["http://zotero.org/users/4776332/items/CH4DWGSR"],"uri":["http://zotero.org/users/4776332/items/CH4DWGSR"],"itemData":{"id":128,"type":"article-journal","title":"Development and application of the Pedestrian Environment Index (PEI)","container-title":"Journal of Transport Geography","page":"73-84","volume":"39","source":"ScienceDirect","abstract":"The objective of this work is to develop a new and easily computable measure of pedestrian friendliness for urban neighborhoods that makes the best use of the available data and also addresses the issues concerning other models in use. The Pedestrian Environment Index (PEI) is defined as the product of four components representing land-use diversity (based on the concept of entropy), population density, commercial density, and intersection density. The final PEI is bound between 0 and 1, and uses data that typically are readily available to planners and metropolitan planning organizations (MPO). The results of this method are region-specific; they are comparable only between the zones within the given study area. As a case study, the city of Chicago is analyzed at the sub-traffic analysis zone (sub-TAZ) level. The results agree closely with the expectation of pedestrian friendliness across different parts of the city. Possible extensions are also listed, including a further study to determine statistical relationships between the PEI and common socio-economic characteristics. The method could also be further improved should more types of data become available.","DOI":"10.1016/j.jtrangeo.2014.06.020","ISSN":"0966-6923","journalAbbreviation":"Journal of Transport Geography","author":[{"family":"Peiravian","given":"Farideddin"},{"family":"Derrible","given":"Sybil"},{"family":"Ijaz","given":"Farukh"}],"issued":{"date-parts":[["2014",7,1]]}}}],"schema":"https://github.com/citation-style-language/schema/raw/master/csl-citation.json"} </w:instrText>
      </w:r>
      <w:r w:rsidR="001379B0">
        <w:fldChar w:fldCharType="separate"/>
      </w:r>
      <w:r w:rsidR="00CA7CDB" w:rsidRPr="00CA7CDB">
        <w:t>(Peiravian et al. 2014)</w:t>
      </w:r>
      <w:r w:rsidR="001379B0">
        <w:fldChar w:fldCharType="end"/>
      </w:r>
      <w:r w:rsidR="001379B0">
        <w:t xml:space="preserve">, </w:t>
      </w:r>
      <w:r>
        <w:t xml:space="preserve">and others. </w:t>
      </w:r>
    </w:p>
    <w:p w14:paraId="3E8610CE" w14:textId="5E69DFFC" w:rsidR="00B37532" w:rsidRDefault="00B37532" w:rsidP="00B37532">
      <w:pPr>
        <w:pStyle w:val="BodyText"/>
      </w:pPr>
      <w:r>
        <w:t xml:space="preserve">The </w:t>
      </w:r>
      <w:r w:rsidR="00ED5A86">
        <w:t>present-day</w:t>
      </w:r>
      <w:r>
        <w:t xml:space="preserve"> issue is that the availability and formatting of these built environment data vary widely across and within regions, yielding challenges to the transferability of composite measures of the pedestrian environment (and models of pedestrian demand). A related issue involves finding the appropriate scale that balances tradeoffs between the use of small-scale and behaviorally-sensitive pedestrian environment data, the computational processing challenges that such data impose, and the general availability of those data now and in the future.</w:t>
      </w:r>
    </w:p>
    <w:p w14:paraId="383F8142" w14:textId="0E6EF649" w:rsidR="00B37532" w:rsidRDefault="00B37532" w:rsidP="00B37532">
      <w:pPr>
        <w:pStyle w:val="BodyText"/>
      </w:pPr>
      <w:r>
        <w:t xml:space="preserve">Pedestrian modeling has also not kept pace with nor taken full advantage of developments happening in pedestrian data collection. Historically, one reason why few MPO models represented pedestrian travel was that the regional household travel surveys used to estimate such models captured few walking trips, often by design </w:t>
      </w:r>
      <w:r w:rsidR="001379B0">
        <w:fldChar w:fldCharType="begin"/>
      </w:r>
      <w:r w:rsidR="001B1E4A">
        <w:instrText xml:space="preserve"> ADDIN ZOTERO_ITEM CSL_CITATION {"citationID":"j4VVCuOh","properties":{"formattedCitation":"(K. Clifton and Muhs 2012)","plainCitation":"(K. Clifton and Muhs 2012)","dontUpdate":true},"citationItems":[{"id":131,"uris":["http://zotero.org/users/4776332/items/BWQQFCJ7"],"uri":["http://zotero.org/users/4776332/items/BWQQFCJ7"],"itemData":{"id":131,"type":"article-journal","title":"Capturing and Representing Multimodal Trips in Travel Surveys","container-title":"Transportation Research Record: Journal of the Transportation Research Board","page":"74-83","volume":"2285","source":"trrjournalonline.trb.org (Atypon)","abstract":"Multimodal trips, or trips that use more than one means of transportation, have historically been underrepresented in travel surveying efforts. This lack of consideration has implications for widely accepted statistics for nonmotorized travel behavior (walking, bicycling, etc.) and affects researchers and professionals in travel modeling, urban planning, public health, and urban design. However, interest in the \"last mile\" connections to transit, aggregate health impacts of short walking trips, and emphasis on local connectivity require more detailed information on these typically short but important stages of travel. This study reviews approaches to multimodal travel behavior in travel surveys, analyzes their implications, and makes recommendations to improve data collection for the purpose of improved representation of multimodal travel. Particular attention is given to transit access and egress trip segments, nonmotorized travel, use of technology in travel surveys, reporting data, and dissemination of the travel survey beyond the travel forecasting community.","DOI":"10.3141/2285-09","ISSN":"0361-1981","journalAbbreviation":"Transportation Research Record: Journal of the Transportation Research Board","author":[{"family":"Clifton","given":"Kelly J."},{"family":"Muhs","given":"Christopher"}],"issued":{"date-parts":[["2012",10,18]]}}}],"schema":"https://github.com/citation-style-language/schema/raw/master/csl-citation.json"} </w:instrText>
      </w:r>
      <w:r w:rsidR="001379B0">
        <w:fldChar w:fldCharType="separate"/>
      </w:r>
      <w:r w:rsidR="001B1E4A">
        <w:t>(</w:t>
      </w:r>
      <w:r w:rsidR="00143E33" w:rsidRPr="00143E33">
        <w:t>Clifton and Muhs 2012)</w:t>
      </w:r>
      <w:r w:rsidR="001379B0">
        <w:fldChar w:fldCharType="end"/>
      </w:r>
      <w:r>
        <w:t>. Today, surveys have improved their capture of pedestrian activity, and data collection efforts are increasingly being supplemented by short- and long</w:t>
      </w:r>
      <w:r w:rsidR="00B247A6">
        <w:t>-</w:t>
      </w:r>
      <w:r>
        <w:t>term pedes</w:t>
      </w:r>
      <w:r w:rsidR="00AB64F1">
        <w:t xml:space="preserve">trian counts </w:t>
      </w:r>
      <w:r w:rsidR="00AB64F1">
        <w:fldChar w:fldCharType="begin"/>
      </w:r>
      <w:r w:rsidR="00CA7CDB">
        <w:instrText xml:space="preserve"> ADDIN ZOTERO_ITEM CSL_CITATION {"citationID":"GPLIyQQo","properties":{"formattedCitation":"(Schneider et al. 2005)","plainCitation":"(Schneider et al. 2005)"},"citationItems":[{"id":134,"uris":["http://zotero.org/users/4776332/items/ER5MLB8W"],"uri":["http://zotero.org/users/4776332/items/ER5MLB8W"],"itemData":{"id":134,"type":"article-journal","title":"Case Study Analysis of Pedestrian and Bicycle Data Collection in U.S. Communities","container-title":"Transportation Research Record: Journal of the Transportation Research Board","page":"77-90","volume":"1939","source":"trrjournalonline.trb.org (Atypon)","abstract":"Federal funding for pedestrian and bicycle transportation has increased over the past 15 years, with a resulting increase in shared-use pathways, paved shoulders, bicycle lanes, and sidewalks in many parts of the United States. This has caused communities to ask questions: Where is pedestrian and bicycle activity taking place? What effect does facility construction have on levels of bicycling and walking? What are the characteristics of nonmotorized transportation users? How many miles of pedestrian and bicycle facilities are available? Where are existing facilities located? This paper provides a summary of recent research that was sponsored by FHWA and the Pedestrian and Bicycle Information Center to review and evaluate bicycle and pedestrian data collection methods throughout the United States. It uses a case study approach to evaluate pedestrian and bicycle data collection in 29 different agencies throughout the country in communities ranging in size from 6,000 residents (Sandpoint, Idaho) to 8 million residents (New York City). These case studies are analyzed in the following data collection categories: manual counts, automated counts, surveys targeting nonmotorized transportation users, surveys sampling a general population, inventories, and spatial analyses. The results provide information about the methods and the optimum timing for pedestrian and bicycle data collection; emerging technologies that can be used to gather and analyze data; the benefits, limitations, and costs of different data collection techniques; and implications for a national data collection strategy.","DOI":"10.3141/1939-10","ISSN":"0361-1981","journalAbbreviation":"Transportation Research Record: Journal of the Transportation Research Board","author":[{"family":"Schneider","given":"Robert"},{"family":"Patten","given":"Robert"},{"family":"Toole","given":"Jennifer"}],"issued":{"date-parts":[["2005",1,1]]}}}],"schema":"https://github.com/citation-style-language/schema/raw/master/csl-citation.json"} </w:instrText>
      </w:r>
      <w:r w:rsidR="00AB64F1">
        <w:fldChar w:fldCharType="separate"/>
      </w:r>
      <w:r w:rsidR="00CA7CDB" w:rsidRPr="00CA7CDB">
        <w:t xml:space="preserve">(Schneider et al. </w:t>
      </w:r>
      <w:r w:rsidR="00CA7CDB" w:rsidRPr="00CA7CDB">
        <w:lastRenderedPageBreak/>
        <w:t>2005)</w:t>
      </w:r>
      <w:r w:rsidR="00AB64F1">
        <w:fldChar w:fldCharType="end"/>
      </w:r>
      <w:r>
        <w:t>. Surprisingly, these count data are rarely used in the development of regional pedestrian demand forecasting models and analysis tools, despite being a potential source of data for external validation, if not calibration.</w:t>
      </w:r>
    </w:p>
    <w:p w14:paraId="31F5662D" w14:textId="7E96EDDA" w:rsidR="008C5E99" w:rsidRDefault="00B247A6" w:rsidP="00B247A6">
      <w:pPr>
        <w:pStyle w:val="BodyText"/>
      </w:pPr>
      <w:r>
        <w:t xml:space="preserve">This project </w:t>
      </w:r>
      <w:r w:rsidR="00AD0D33">
        <w:t>begins</w:t>
      </w:r>
      <w:r>
        <w:t xml:space="preserve"> to address </w:t>
      </w:r>
      <w:r w:rsidR="00AD0D33">
        <w:t>some</w:t>
      </w:r>
      <w:r w:rsidR="004D50AF">
        <w:t xml:space="preserve"> </w:t>
      </w:r>
      <w:r>
        <w:t xml:space="preserve">of these research gaps and practical needs. </w:t>
      </w:r>
      <w:r w:rsidR="00FD1416">
        <w:t>It</w:t>
      </w:r>
      <w:r>
        <w:t xml:space="preserve"> build</w:t>
      </w:r>
      <w:r w:rsidR="00AD0D33">
        <w:t>s</w:t>
      </w:r>
      <w:r>
        <w:t xml:space="preserve"> upon previous work developing a framework </w:t>
      </w:r>
      <w:r w:rsidR="00BA684C">
        <w:t>for Model of Pedestrian D</w:t>
      </w:r>
      <w:r>
        <w:t xml:space="preserve">emand (MoPeD) and a </w:t>
      </w:r>
      <w:r w:rsidR="008C5E99">
        <w:t>Pedestrian Index of the Environment (</w:t>
      </w:r>
      <w:r w:rsidR="00026016">
        <w:t>PIE</w:t>
      </w:r>
      <w:r w:rsidR="008C5E99">
        <w:t>)</w:t>
      </w:r>
      <w:r w:rsidR="00026016">
        <w:t xml:space="preserve"> </w:t>
      </w:r>
      <w:r>
        <w:t xml:space="preserve">variable </w:t>
      </w:r>
      <w:r w:rsidR="00CA7CDB">
        <w:fldChar w:fldCharType="begin"/>
      </w:r>
      <w:r w:rsidR="00143E33">
        <w:instrText xml:space="preserve"> ADDIN ZOTERO_ITEM CSL_CITATION {"citationID":"2dTRIecY","properties":{"formattedCitation":"(K. Clifton et al. 2013, 2015)","plainCitation":"(K. Clifton et al. 2013, 2015)"},"citationItems":[{"id":187,"uris":["http://zotero.org/users/4776332/items/UQH8THQ6"],"uri":["http://zotero.org/users/4776332/items/UQH8THQ6"],"itemData":{"id":187,"type":"article-journal","title":"Improving the Representation of the Pedestrian Environment in Travel Demand Models, Phase I","container-title":"Civil and Environmental Engineering Faculty Publications and Presentations","URL":"https://pdxscholar.library.pdx.edu/cengin_fac/189","DOI":"10.15760/trec.120","author":[{"family":"Clifton","given":"Kelly"},{"family":"Singleton","given":"Patrick"},{"family":"Muhs","given":"Christopher"},{"family":"Schneider","given":"Robert"},{"family":"Lagerwey","given":"Peter"}],"issued":{"date-parts":[["2013",9,1]]}}},{"id":185,"uris":["http://zotero.org/users/4776332/items/GV4MCR38"],"uri":["http://zotero.org/users/4776332/items/GV4MCR38"],"itemData":{"id":185,"type":"article-journal","title":"Development of a Pedestrian Demand Estimation Tool","container-title":"Civil and Environmental Engineering Faculty Publications and Presentations","URL":"https://pdxscholar.library.pdx.edu/cengin_fac/318","DOI":"10.15760/trec.124","author":[{"family":"Clifton","given":"Kelly"},{"family":"Singleton","given":"Patrick"},{"family":"Muhs","given":"Christopher"},{"family":"Schneider","given":"Robert"}],"issued":{"date-parts":[["2015",9,1]]}}}],"schema":"https://github.com/citation-style-language/schema/raw/master/csl-citation.json"} </w:instrText>
      </w:r>
      <w:r w:rsidR="00CA7CDB">
        <w:fldChar w:fldCharType="separate"/>
      </w:r>
      <w:r w:rsidR="00F95FE9">
        <w:t>(</w:t>
      </w:r>
      <w:r w:rsidR="00143E33" w:rsidRPr="00143E33">
        <w:t>Clifton et al. 2013, 2015)</w:t>
      </w:r>
      <w:r w:rsidR="00CA7CDB">
        <w:fldChar w:fldCharType="end"/>
      </w:r>
      <w:r>
        <w:t xml:space="preserve"> to make measures and models more transferrable and useful </w:t>
      </w:r>
      <w:r w:rsidR="008C5E99">
        <w:t>for</w:t>
      </w:r>
      <w:r>
        <w:t xml:space="preserve"> forecasting. </w:t>
      </w:r>
    </w:p>
    <w:p w14:paraId="6FDD59CD" w14:textId="776FB54F" w:rsidR="008C5E99" w:rsidRDefault="00F95FE9" w:rsidP="005B6737">
      <w:pPr>
        <w:pStyle w:val="BodyText"/>
      </w:pPr>
      <w:r>
        <w:t>PIE is a</w:t>
      </w:r>
      <w:r w:rsidR="008C5E99">
        <w:t xml:space="preserve"> </w:t>
      </w:r>
      <w:r>
        <w:t xml:space="preserve">composite index that is constructed from a set of models that estimate the </w:t>
      </w:r>
      <w:r w:rsidR="008C5E99" w:rsidRPr="008C5E99">
        <w:t xml:space="preserve">probability of </w:t>
      </w:r>
      <w:r>
        <w:t>walking trips as a function of a built environment attribute</w:t>
      </w:r>
      <w:r w:rsidR="008C5E99" w:rsidRPr="008C5E99">
        <w:t>. The</w:t>
      </w:r>
      <w:r w:rsidR="008C5E99">
        <w:t xml:space="preserve"> value of PIE is calculated from </w:t>
      </w:r>
      <w:r w:rsidR="008C5E99" w:rsidRPr="008C5E99">
        <w:t>a set</w:t>
      </w:r>
      <w:r w:rsidR="008C5E99">
        <w:t xml:space="preserve"> </w:t>
      </w:r>
      <w:r w:rsidR="005B6737">
        <w:t xml:space="preserve">of built environment variables representing activity density, block density, sidewalk density, transit access, neighborhood-oriented businesses and other factors </w:t>
      </w:r>
      <w:r w:rsidR="00CA7CDB">
        <w:fldChar w:fldCharType="begin"/>
      </w:r>
      <w:r w:rsidR="00CA7CDB">
        <w:instrText xml:space="preserve"> ADDIN ZOTERO_ITEM CSL_CITATION {"citationID":"zhMt7u0Y","properties":{"formattedCitation":"(Singleton et al. 2014)","plainCitation":"(Singleton et al. 2014)"},"citationItems":[{"id":139,"uris":["http://zotero.org/users/4776332/items/WHNR45EK"],"uri":["http://zotero.org/users/4776332/items/WHNR45EK"],"itemData":{"id":139,"type":"paper-conference","title":"The Pedestrian Index of the Environment: Representing the Walking Environment in Planning Applications","source":"trid.trb.org","event":"Transportation Research Board 93rd Annual MeetingTransportation Research Board","URL":"https://trid.trb.org/view/1289281","shortTitle":"The Pedestrian Index of the Environment","author":[{"family":"Singleton","given":"Patrick A."},{"family":"Schneider","given":"Robert J."},{"family":"Muhs","given":"Christopher"},{"family":"Clifton","given":"Kelly J."}],"issued":{"date-parts":[["2014"]]},"accessed":{"date-parts":[["2018",4,14]]}}}],"schema":"https://github.com/citation-style-language/schema/raw/master/csl-citation.json"} </w:instrText>
      </w:r>
      <w:r w:rsidR="00CA7CDB">
        <w:fldChar w:fldCharType="separate"/>
      </w:r>
      <w:r w:rsidR="00CA7CDB" w:rsidRPr="00CA7CDB">
        <w:t>(Singleton et al. 2014)</w:t>
      </w:r>
      <w:r w:rsidR="00CA7CDB">
        <w:fldChar w:fldCharType="end"/>
      </w:r>
      <w:r w:rsidR="00CA7CDB">
        <w:t xml:space="preserve">. </w:t>
      </w:r>
      <w:r w:rsidR="002E14A3" w:rsidRPr="000D0D60">
        <w:rPr>
          <w:noProof/>
        </w:rPr>
        <w:t>PIE</w:t>
      </w:r>
      <w:r w:rsidR="002E14A3">
        <w:t xml:space="preserve"> was </w:t>
      </w:r>
      <w:r w:rsidR="008C5E99">
        <w:t>originally developed</w:t>
      </w:r>
      <w:r w:rsidR="002E14A3">
        <w:t xml:space="preserve"> for </w:t>
      </w:r>
      <w:r w:rsidR="00FD1416">
        <w:t>Portland, OR</w:t>
      </w:r>
      <w:r w:rsidR="002E14A3">
        <w:t xml:space="preserve"> using </w:t>
      </w:r>
      <w:r w:rsidR="008734B0">
        <w:t xml:space="preserve">the 2011 Oregon Household Travel Survey (OHAS) and </w:t>
      </w:r>
      <w:r w:rsidR="002E14A3">
        <w:t xml:space="preserve">built environment data at a small grid scale of 80 by 80 meters. </w:t>
      </w:r>
    </w:p>
    <w:p w14:paraId="02CD003B" w14:textId="7BBF0013" w:rsidR="006F0DA2" w:rsidRDefault="00BA684C" w:rsidP="00B247A6">
      <w:pPr>
        <w:pStyle w:val="BodyText"/>
      </w:pPr>
      <w:r w:rsidRPr="00C226F2">
        <w:rPr>
          <w:noProof/>
        </w:rPr>
        <w:t>MoPeD</w:t>
      </w:r>
      <w:r>
        <w:t xml:space="preserve"> i</w:t>
      </w:r>
      <w:r w:rsidR="002E14A3">
        <w:t xml:space="preserve">s a tool for </w:t>
      </w:r>
      <w:r w:rsidR="008734B0">
        <w:t xml:space="preserve">predicting </w:t>
      </w:r>
      <w:r w:rsidR="002E14A3">
        <w:t>pedestrian demand</w:t>
      </w:r>
      <w:r w:rsidR="008734B0">
        <w:t xml:space="preserve"> using trip generation</w:t>
      </w:r>
      <w:r w:rsidR="008144D7">
        <w:t>, mode choice,</w:t>
      </w:r>
      <w:r w:rsidR="008734B0">
        <w:t xml:space="preserve"> and destination choice models. These models predict walking trip probabilities</w:t>
      </w:r>
      <w:r w:rsidR="003424DA">
        <w:t xml:space="preserve"> for a variety of travel purposes</w:t>
      </w:r>
      <w:r w:rsidR="008734B0">
        <w:t xml:space="preserve"> </w:t>
      </w:r>
      <w:r w:rsidR="002E14A3">
        <w:t>us</w:t>
      </w:r>
      <w:r w:rsidR="008734B0">
        <w:t>ing</w:t>
      </w:r>
      <w:r w:rsidR="002E14A3">
        <w:t xml:space="preserve"> PIE and other socioeconomic and demogra</w:t>
      </w:r>
      <w:r w:rsidR="0080317D">
        <w:t xml:space="preserve">phic information. </w:t>
      </w:r>
      <w:r w:rsidR="008734B0" w:rsidRPr="00C226F2">
        <w:rPr>
          <w:noProof/>
        </w:rPr>
        <w:t>MoPeD</w:t>
      </w:r>
      <w:r w:rsidR="008734B0">
        <w:t xml:space="preserve"> has been calibrated with OHAS data and applied to 80 by </w:t>
      </w:r>
      <w:r w:rsidR="00ED5A86">
        <w:t>80-meter</w:t>
      </w:r>
      <w:r w:rsidR="008734B0">
        <w:t xml:space="preserve"> grid cells in Portland, OR.</w:t>
      </w:r>
    </w:p>
    <w:p w14:paraId="774E9352" w14:textId="5C05AF88" w:rsidR="00B247A6" w:rsidRDefault="00B247A6" w:rsidP="00B247A6">
      <w:pPr>
        <w:pStyle w:val="BodyText"/>
      </w:pPr>
      <w:r>
        <w:t xml:space="preserve">These tools and others are increasingly requested by </w:t>
      </w:r>
      <w:r w:rsidR="00BA684C">
        <w:t>those interested in increasing walking activity and creating</w:t>
      </w:r>
      <w:r>
        <w:t xml:space="preserve"> more walkable places. </w:t>
      </w:r>
      <w:r w:rsidR="003424DA">
        <w:t>While MoPeD and PIE</w:t>
      </w:r>
      <w:r>
        <w:t xml:space="preserve"> ha</w:t>
      </w:r>
      <w:r w:rsidR="003424DA">
        <w:t>ve</w:t>
      </w:r>
      <w:r>
        <w:t xml:space="preserve"> been piloted with success in the Portland region using data unique to Metro, the metropolitan planning organization, there is increasing interest from planning agencies within and outside of Portland and Oregon (e.g.: City of Tigard, OR; Metropolitan Council of the Twin Cities, MN; San Francisco Public Health Department, CA)</w:t>
      </w:r>
      <w:r w:rsidR="00BA684C">
        <w:t xml:space="preserve"> in</w:t>
      </w:r>
      <w:r>
        <w:t xml:space="preserve"> adapting the</w:t>
      </w:r>
      <w:r w:rsidR="003424DA">
        <w:t>se</w:t>
      </w:r>
      <w:r>
        <w:t xml:space="preserve"> pedestrian modeling tools for use in their own jurisdictions. Local governments desire to apply these tools for a variety of planning and forecasting purposes, </w:t>
      </w:r>
      <w:r w:rsidR="00BA684C">
        <w:t xml:space="preserve">including but not limited to </w:t>
      </w:r>
      <w:r>
        <w:t>regional demand modeling. Unfortunately, other regions often do not have uniform access to the same kinds of pedestrian environment data as Metro, particularly at such a fine-grained scale.</w:t>
      </w:r>
      <w:r w:rsidRPr="00B247A6">
        <w:t xml:space="preserve"> </w:t>
      </w:r>
      <w:r>
        <w:t>Important challenges remain in model development that must be overcome if these tools are to achieve widespread application. Among the most critical needs are the standardization and forecasting of model inputs, particularly measures of the built environment.</w:t>
      </w:r>
    </w:p>
    <w:p w14:paraId="1C76A288" w14:textId="48BCD5C4" w:rsidR="00B247A6" w:rsidRDefault="00B247A6" w:rsidP="00B247A6">
      <w:pPr>
        <w:pStyle w:val="BodyText"/>
      </w:pPr>
      <w:r>
        <w:t>In this next phase of o</w:t>
      </w:r>
      <w:r w:rsidR="00F95FE9">
        <w:t>ur pedestrian modeling work</w:t>
      </w:r>
      <w:r w:rsidR="00CA7CDB">
        <w:t xml:space="preserve">, </w:t>
      </w:r>
      <w:r>
        <w:t xml:space="preserve">we focus on </w:t>
      </w:r>
      <w:r w:rsidR="004F51AE">
        <w:t>testing the ability of</w:t>
      </w:r>
      <w:r>
        <w:t xml:space="preserve"> our measures, models, and methods </w:t>
      </w:r>
      <w:r w:rsidR="004F51AE">
        <w:t xml:space="preserve">to be </w:t>
      </w:r>
      <w:r>
        <w:t xml:space="preserve">more transferable to other locations. Specifically, we capitalize on </w:t>
      </w:r>
      <w:r w:rsidR="005669E7">
        <w:t xml:space="preserve">the </w:t>
      </w:r>
      <w:r w:rsidRPr="000D0D60">
        <w:rPr>
          <w:noProof/>
        </w:rPr>
        <w:t>increased</w:t>
      </w:r>
      <w:r>
        <w:t xml:space="preserve"> availability of pedestrian environment data to create a new PIE</w:t>
      </w:r>
      <w:r w:rsidR="00997893">
        <w:t xml:space="preserve"> (called PIE</w:t>
      </w:r>
      <w:r w:rsidR="00997893" w:rsidRPr="00163796">
        <w:rPr>
          <w:vertAlign w:val="subscript"/>
        </w:rPr>
        <w:t>bg</w:t>
      </w:r>
      <w:r w:rsidR="00997893">
        <w:t>)</w:t>
      </w:r>
      <w:r>
        <w:t xml:space="preserve"> that utilizes more widespread data sources</w:t>
      </w:r>
      <w:r w:rsidR="00997893">
        <w:t xml:space="preserve"> available at the census block group level</w:t>
      </w:r>
      <w:r>
        <w:t>.</w:t>
      </w:r>
      <w:r w:rsidRPr="00B247A6">
        <w:t xml:space="preserve"> </w:t>
      </w:r>
      <w:r>
        <w:t xml:space="preserve">We re-evaluate, compare </w:t>
      </w:r>
      <w:r w:rsidR="00163796">
        <w:t>(with the original PIE, called PIE</w:t>
      </w:r>
      <w:r w:rsidR="00163796" w:rsidRPr="00163796">
        <w:rPr>
          <w:vertAlign w:val="subscript"/>
        </w:rPr>
        <w:t>0</w:t>
      </w:r>
      <w:r w:rsidR="00163796">
        <w:t xml:space="preserve"> in this report) </w:t>
      </w:r>
      <w:r>
        <w:t xml:space="preserve">and test our </w:t>
      </w:r>
      <w:r w:rsidR="00997893">
        <w:t>PIE</w:t>
      </w:r>
      <w:r w:rsidR="00997893" w:rsidRPr="00163796">
        <w:rPr>
          <w:vertAlign w:val="subscript"/>
        </w:rPr>
        <w:t>bg</w:t>
      </w:r>
      <w:r>
        <w:t xml:space="preserve"> measure using data resources more commonly available to planning agencies across the country. Next, we </w:t>
      </w:r>
      <w:r w:rsidR="00AD0D33">
        <w:t xml:space="preserve">examine </w:t>
      </w:r>
      <w:r>
        <w:t xml:space="preserve">this </w:t>
      </w:r>
      <w:r w:rsidR="00997893">
        <w:t>PIE</w:t>
      </w:r>
      <w:r w:rsidR="00997893" w:rsidRPr="00163796">
        <w:rPr>
          <w:vertAlign w:val="subscript"/>
        </w:rPr>
        <w:t>bg</w:t>
      </w:r>
      <w:r>
        <w:t xml:space="preserve"> variable</w:t>
      </w:r>
      <w:r w:rsidR="00AD0D33">
        <w:t xml:space="preserve"> and its association with walking in Portland amid both urban and suburban contexts (intra</w:t>
      </w:r>
      <w:r w:rsidR="00163796">
        <w:t>-</w:t>
      </w:r>
      <w:r w:rsidR="00AD0D33">
        <w:t>regionally)</w:t>
      </w:r>
      <w:r>
        <w:t xml:space="preserve">. </w:t>
      </w:r>
      <w:r w:rsidR="009A18AB">
        <w:t>Additionally</w:t>
      </w:r>
      <w:r w:rsidR="00AD0D33">
        <w:t xml:space="preserve">, we examine differences in the </w:t>
      </w:r>
      <w:r w:rsidR="00997893">
        <w:t>PIE</w:t>
      </w:r>
      <w:r w:rsidR="00997893" w:rsidRPr="00163796">
        <w:rPr>
          <w:vertAlign w:val="subscript"/>
        </w:rPr>
        <w:t>bg</w:t>
      </w:r>
      <w:r w:rsidR="00AD0D33">
        <w:t xml:space="preserve"> measure and its performance in regions outside of Portland (interregional transferability). </w:t>
      </w:r>
      <w:r>
        <w:t xml:space="preserve">These tasks balance data availability, scale, computational capacity, and behavioral realism. This updated suite of pedestrian modeling products has the potential to be more widely </w:t>
      </w:r>
      <w:r w:rsidRPr="000D0D60">
        <w:rPr>
          <w:noProof/>
        </w:rPr>
        <w:t>transferable</w:t>
      </w:r>
      <w:r>
        <w:t xml:space="preserve"> and applicable to MPOs and other planning agencies beyond Portland.</w:t>
      </w:r>
      <w:r w:rsidR="009A18AB">
        <w:t xml:space="preserve"> Finally, we </w:t>
      </w:r>
      <w:r w:rsidR="004F51AE">
        <w:t xml:space="preserve">test this new </w:t>
      </w:r>
      <w:r w:rsidR="004F51AE">
        <w:lastRenderedPageBreak/>
        <w:t xml:space="preserve">measure across a large range of urban environments by </w:t>
      </w:r>
      <w:r w:rsidR="00163796">
        <w:t>estimat</w:t>
      </w:r>
      <w:r w:rsidR="004F51AE">
        <w:t>ing</w:t>
      </w:r>
      <w:r w:rsidR="009A18AB">
        <w:t xml:space="preserve"> model</w:t>
      </w:r>
      <w:r w:rsidR="004F51AE">
        <w:t>s</w:t>
      </w:r>
      <w:r w:rsidR="009A18AB">
        <w:t xml:space="preserve"> of </w:t>
      </w:r>
      <w:r w:rsidR="009A18AB" w:rsidRPr="00C226F2">
        <w:rPr>
          <w:noProof/>
        </w:rPr>
        <w:t>probability</w:t>
      </w:r>
      <w:r w:rsidR="009A18AB">
        <w:t xml:space="preserve"> of walking using </w:t>
      </w:r>
      <w:r w:rsidR="004F51AE">
        <w:t>PIE</w:t>
      </w:r>
      <w:r w:rsidR="004F51AE" w:rsidRPr="00163796">
        <w:rPr>
          <w:vertAlign w:val="subscript"/>
        </w:rPr>
        <w:t>bg</w:t>
      </w:r>
      <w:r w:rsidR="004F51AE">
        <w:t xml:space="preserve"> </w:t>
      </w:r>
      <w:r w:rsidR="009A18AB">
        <w:t xml:space="preserve">as a single explanatory variable. This </w:t>
      </w:r>
      <w:r w:rsidR="00163796">
        <w:t>analysis tests</w:t>
      </w:r>
      <w:r w:rsidR="009A18AB">
        <w:t xml:space="preserve"> the issue of linearity in the parameters</w:t>
      </w:r>
      <w:r w:rsidR="00163796">
        <w:t xml:space="preserve"> and questions the</w:t>
      </w:r>
      <w:r w:rsidR="009A18AB">
        <w:t xml:space="preserve"> validity of using </w:t>
      </w:r>
      <w:r w:rsidR="00163796">
        <w:t>a single parameter</w:t>
      </w:r>
      <w:r w:rsidR="004F51AE">
        <w:t xml:space="preserve"> to represent the behavioral response to </w:t>
      </w:r>
      <w:r w:rsidR="004F51AE" w:rsidRPr="00C226F2">
        <w:rPr>
          <w:noProof/>
        </w:rPr>
        <w:t>walking</w:t>
      </w:r>
      <w:r w:rsidR="004F51AE">
        <w:t xml:space="preserve"> environment for all locations</w:t>
      </w:r>
      <w:r w:rsidR="00163796">
        <w:t>.</w:t>
      </w:r>
      <w:r w:rsidR="009A18AB">
        <w:t xml:space="preserve"> </w:t>
      </w:r>
    </w:p>
    <w:p w14:paraId="3022F526" w14:textId="77777777" w:rsidR="003052BC" w:rsidRDefault="00353104" w:rsidP="00353104">
      <w:pPr>
        <w:pStyle w:val="BodyText"/>
      </w:pPr>
      <w:r>
        <w:t>Our overall research objective is to increase the availability of pedestrian demand tools for use by various planning agencies around the country. To do this, we are guided by the following research questions.</w:t>
      </w:r>
    </w:p>
    <w:p w14:paraId="48237D35" w14:textId="7B5029FA" w:rsidR="00353104" w:rsidRDefault="00353104" w:rsidP="00353104">
      <w:pPr>
        <w:pStyle w:val="BodyText"/>
      </w:pPr>
      <w:r w:rsidRPr="00353104">
        <w:rPr>
          <w:b/>
        </w:rPr>
        <w:t xml:space="preserve">How can </w:t>
      </w:r>
      <w:r w:rsidRPr="00C226F2">
        <w:rPr>
          <w:b/>
          <w:noProof/>
        </w:rPr>
        <w:t>PIE</w:t>
      </w:r>
      <w:r w:rsidRPr="00353104">
        <w:rPr>
          <w:b/>
        </w:rPr>
        <w:t xml:space="preserve"> be constructed using data </w:t>
      </w:r>
      <w:r w:rsidR="00163796">
        <w:rPr>
          <w:b/>
        </w:rPr>
        <w:t xml:space="preserve">that are </w:t>
      </w:r>
      <w:r w:rsidRPr="00353104">
        <w:rPr>
          <w:b/>
        </w:rPr>
        <w:t>widely available to planning agencies across the country, but remain sensitive to pedestrian scales and variations in environmental conditions?</w:t>
      </w:r>
      <w:r>
        <w:t xml:space="preserve"> PIE is central to representing the built environment in the trip generation and destination choice models within MoPeD. In its current form, PIE relies on detailed, disaggregate, spatial data that are available in the Portland region; but, in other areas of the country, these data are not uniformly available. In order for the MoPeD model to be </w:t>
      </w:r>
      <w:r w:rsidRPr="005669E7">
        <w:rPr>
          <w:noProof/>
        </w:rPr>
        <w:t>transferable</w:t>
      </w:r>
      <w:r>
        <w:t xml:space="preserve"> to other locations, we redesign PIE to make use of data resources that are more commonly available around the US and elsewhere and compare results with our original PIE construct.</w:t>
      </w:r>
    </w:p>
    <w:p w14:paraId="240595F3" w14:textId="6EE70431" w:rsidR="00326721" w:rsidRDefault="00353104" w:rsidP="00353104">
      <w:pPr>
        <w:pStyle w:val="BodyText"/>
      </w:pPr>
      <w:r w:rsidRPr="00353104">
        <w:rPr>
          <w:b/>
        </w:rPr>
        <w:t xml:space="preserve">Should the measures of the built environment comprising PIE be weighted differently in different urban/suburban contexts? </w:t>
      </w:r>
      <w:r>
        <w:t>People walking in suburban locations may actually care about and respond to various environmental characteristics differently than people walking in urban locations. Suburban areas have been given relatively less attention in studies of pedestrian behavior, despite evidence of significant le</w:t>
      </w:r>
      <w:r w:rsidR="00CA7CDB">
        <w:t xml:space="preserve">vels of walking observed there </w:t>
      </w:r>
      <w:r w:rsidR="00CA7CDB">
        <w:fldChar w:fldCharType="begin"/>
      </w:r>
      <w:r w:rsidR="00CA7CDB">
        <w:instrText xml:space="preserve"> ADDIN ZOTERO_ITEM CSL_CITATION {"citationID":"tQ6LvBVz","properties":{"formattedCitation":"(Larco et al. 2013)","plainCitation":"(Larco et al. 2013)"},"citationItems":[{"id":195,"uris":["http://zotero.org/users/4776332/items/K5CT5FDM"],"uri":["http://zotero.org/users/4776332/items/K5CT5FDM"],"itemData":{"id":195,"type":"article-journal","title":"Trips to Strips: Walking and Site Design in Suburban Multifamily Housing","container-title":"Journal of Urban Design","page":"281-303","volume":"18","issue":"2","source":"Taylor and Francis+NEJM","abstract":"With over nine million units in the country, suburban multifamily housing is a widespread and overlooked example of density located within walking distance of commercial development in suburbia. This paper reports on resident demographics, attitudes, and perceptions as they relate to mode choice in 14 suburban multifamily sites in Eugene, Oregon. Through site analysis and resident surveys, this study shows that residents of well-connected suburban multifamily housing developments walk or bike for nearly half of their trips to the local commercial area (LCA). In addition, residents of well-connected multifamily developments reported walking to their LCA 60% more (one more trip per week) than residents of less-connected developments who took a similar number of total trips. Quantifying the degree to which site design, and specifically connectivity, makes a difference in residents' mode choice is a first step towards increasing the amount of active transportation in these areas. The results of this research provide planners and designers a basis for re-evaluating suburban multifamily site design and zoning codes.","DOI":"10.1080/13574809.2013.772886","ISSN":"1357-4809","shortTitle":"Trips to Strips","author":[{"family":"Larco","given":"Nico"},{"family":"Stockard","given":"Jean"},{"family":"Steiner","given":"Bethany"},{"family":"West","given":"Amanda"}],"issued":{"date-parts":[["2013",5,1]]}}}],"schema":"https://github.com/citation-style-language/schema/raw/master/csl-citation.json"} </w:instrText>
      </w:r>
      <w:r w:rsidR="00CA7CDB">
        <w:fldChar w:fldCharType="separate"/>
      </w:r>
      <w:r w:rsidR="00CA7CDB" w:rsidRPr="00CA7CDB">
        <w:t>(Larco et al. 2013)</w:t>
      </w:r>
      <w:r w:rsidR="00CA7CDB">
        <w:fldChar w:fldCharType="end"/>
      </w:r>
      <w:r>
        <w:t>. To better understand walking behavior across a spectrum of contexts, we test for differences in the combinations of environmental features and thresholds used in PIE between urban and suburban locations</w:t>
      </w:r>
      <w:r w:rsidR="002C57E4">
        <w:t xml:space="preserve"> for Portland. Additionally, we extend these tests to different cities to assess h</w:t>
      </w:r>
      <w:r w:rsidR="00F90E87">
        <w:t xml:space="preserve">ow PIE behaves and if we can find evidence that, the measurements are transferrable. </w:t>
      </w:r>
    </w:p>
    <w:p w14:paraId="7C6A7F07" w14:textId="5522B04D" w:rsidR="008B288F" w:rsidRDefault="00B3392E" w:rsidP="00353104">
      <w:pPr>
        <w:pStyle w:val="BodyText"/>
      </w:pPr>
      <w:r>
        <w:t xml:space="preserve">The </w:t>
      </w:r>
      <w:r w:rsidR="004D1B73">
        <w:t xml:space="preserve">remaining </w:t>
      </w:r>
      <w:r>
        <w:t xml:space="preserve">report is organized </w:t>
      </w:r>
      <w:r w:rsidRPr="000D0D60">
        <w:rPr>
          <w:noProof/>
        </w:rPr>
        <w:t>in</w:t>
      </w:r>
      <w:r w:rsidR="005669E7">
        <w:rPr>
          <w:noProof/>
        </w:rPr>
        <w:t>to</w:t>
      </w:r>
      <w:r>
        <w:t xml:space="preserve"> </w:t>
      </w:r>
      <w:r w:rsidR="002D74FC" w:rsidRPr="004D1B73">
        <w:t xml:space="preserve">five </w:t>
      </w:r>
      <w:r w:rsidR="004D1B73" w:rsidRPr="004D1B73">
        <w:t xml:space="preserve">additional </w:t>
      </w:r>
      <w:r w:rsidR="002D74FC" w:rsidRPr="004D1B73">
        <w:t>sections</w:t>
      </w:r>
      <w:r w:rsidR="002D74FC">
        <w:t xml:space="preserve">. The </w:t>
      </w:r>
      <w:r w:rsidR="004D1B73">
        <w:t xml:space="preserve">Section 2.0 </w:t>
      </w:r>
      <w:r w:rsidR="005247EE">
        <w:t>provides a</w:t>
      </w:r>
      <w:r w:rsidR="002D74FC">
        <w:t>n introducti</w:t>
      </w:r>
      <w:r w:rsidR="004D1B73">
        <w:t>on to the pedestrian model. The</w:t>
      </w:r>
      <w:r w:rsidR="00A013FE">
        <w:t>n,</w:t>
      </w:r>
      <w:r w:rsidR="004D1B73">
        <w:t xml:space="preserve"> </w:t>
      </w:r>
      <w:r w:rsidR="002D74FC">
        <w:t xml:space="preserve">a brief summary of the background of the project, </w:t>
      </w:r>
      <w:r w:rsidR="004D1B73">
        <w:t xml:space="preserve">a review of </w:t>
      </w:r>
      <w:r w:rsidR="00FF320A">
        <w:t xml:space="preserve">the main issues </w:t>
      </w:r>
      <w:r w:rsidR="002D74FC">
        <w:t>about walking and travel behavior</w:t>
      </w:r>
      <w:r w:rsidR="00FF320A">
        <w:t>,</w:t>
      </w:r>
      <w:r w:rsidR="002D74FC">
        <w:t xml:space="preserve"> and </w:t>
      </w:r>
      <w:r w:rsidR="005669E7">
        <w:t xml:space="preserve">a </w:t>
      </w:r>
      <w:r w:rsidR="002D74FC" w:rsidRPr="005669E7">
        <w:rPr>
          <w:noProof/>
        </w:rPr>
        <w:t>synthesis</w:t>
      </w:r>
      <w:r w:rsidR="002D74FC">
        <w:t xml:space="preserve"> </w:t>
      </w:r>
      <w:r w:rsidR="005669E7">
        <w:rPr>
          <w:noProof/>
        </w:rPr>
        <w:t>of</w:t>
      </w:r>
      <w:r w:rsidR="002D74FC">
        <w:t xml:space="preserve"> the transferability measures</w:t>
      </w:r>
      <w:r w:rsidR="004D1B73">
        <w:t xml:space="preserve"> are provided in Section 3.0</w:t>
      </w:r>
      <w:r w:rsidR="002D74FC">
        <w:t xml:space="preserve">. The </w:t>
      </w:r>
      <w:r w:rsidR="004D1B73">
        <w:t xml:space="preserve">next section, Section 4.0 </w:t>
      </w:r>
      <w:r w:rsidR="002D74FC">
        <w:t>is a description of the data input</w:t>
      </w:r>
      <w:r w:rsidR="00DE6EB7">
        <w:t>s</w:t>
      </w:r>
      <w:r w:rsidR="002D74FC">
        <w:t xml:space="preserve"> and output</w:t>
      </w:r>
      <w:r w:rsidR="00DE6EB7">
        <w:t>s</w:t>
      </w:r>
      <w:r w:rsidR="002D74FC">
        <w:t xml:space="preserve">, and </w:t>
      </w:r>
      <w:r w:rsidR="00DE6EB7">
        <w:t>discusses</w:t>
      </w:r>
      <w:r w:rsidR="002D74FC">
        <w:t xml:space="preserve"> the main assumptions</w:t>
      </w:r>
      <w:r w:rsidR="00DE6EB7">
        <w:t xml:space="preserve"> in the analysis,</w:t>
      </w:r>
      <w:r w:rsidR="002D74FC">
        <w:t xml:space="preserve"> and</w:t>
      </w:r>
      <w:r w:rsidR="00DE6EB7">
        <w:t xml:space="preserve"> reviews the</w:t>
      </w:r>
      <w:r w:rsidR="002D74FC">
        <w:t xml:space="preserve"> construction of the data sets including </w:t>
      </w:r>
      <w:r w:rsidR="005669E7">
        <w:t xml:space="preserve">the </w:t>
      </w:r>
      <w:r w:rsidR="002D74FC" w:rsidRPr="005669E7">
        <w:rPr>
          <w:noProof/>
        </w:rPr>
        <w:t>built</w:t>
      </w:r>
      <w:r w:rsidR="002D74FC">
        <w:t xml:space="preserve"> environment and</w:t>
      </w:r>
      <w:r w:rsidR="004D1B73">
        <w:t xml:space="preserve"> travel data. Section 5.0</w:t>
      </w:r>
      <w:r w:rsidR="002D74FC">
        <w:t xml:space="preserve"> </w:t>
      </w:r>
      <w:r w:rsidR="00DE6EB7">
        <w:t xml:space="preserve">covers </w:t>
      </w:r>
      <w:r w:rsidR="002D74FC">
        <w:t>the research methods and the implication</w:t>
      </w:r>
      <w:r w:rsidR="00DE6EB7">
        <w:t>s</w:t>
      </w:r>
      <w:r w:rsidR="002D74FC">
        <w:t xml:space="preserve"> of our </w:t>
      </w:r>
      <w:r w:rsidR="00DE6EB7">
        <w:t>approach</w:t>
      </w:r>
      <w:r w:rsidR="002D74FC">
        <w:t xml:space="preserve"> and </w:t>
      </w:r>
      <w:r w:rsidR="00DE6EB7">
        <w:t xml:space="preserve">presents </w:t>
      </w:r>
      <w:r w:rsidR="002D74FC">
        <w:t>results. It is separated in four subsections: the reconstruction of our new index (PIE</w:t>
      </w:r>
      <w:r w:rsidR="002D74FC">
        <w:rPr>
          <w:vertAlign w:val="subscript"/>
        </w:rPr>
        <w:t>bg</w:t>
      </w:r>
      <w:r w:rsidR="002D74FC">
        <w:t>), the comparison with the older index (PIE</w:t>
      </w:r>
      <w:r w:rsidR="002D74FC">
        <w:rPr>
          <w:vertAlign w:val="subscript"/>
        </w:rPr>
        <w:t>0</w:t>
      </w:r>
      <w:r w:rsidR="002D74FC">
        <w:t>), and two section</w:t>
      </w:r>
      <w:r w:rsidR="00DE6EB7">
        <w:t>s</w:t>
      </w:r>
      <w:r w:rsidR="002D74FC">
        <w:t xml:space="preserve"> analyzing the </w:t>
      </w:r>
      <w:r w:rsidR="002D74FC" w:rsidRPr="005669E7">
        <w:rPr>
          <w:noProof/>
        </w:rPr>
        <w:t>intra</w:t>
      </w:r>
      <w:r w:rsidR="00A013FE">
        <w:rPr>
          <w:noProof/>
        </w:rPr>
        <w:t>-</w:t>
      </w:r>
      <w:r w:rsidR="002D74FC">
        <w:t xml:space="preserve"> and intercity transferabilit</w:t>
      </w:r>
      <w:r w:rsidR="004D1B73">
        <w:t xml:space="preserve">y of our new index. Finally, Section 6.0 </w:t>
      </w:r>
      <w:r w:rsidR="002D74FC">
        <w:t>is a discussion and conclusions of this project</w:t>
      </w:r>
      <w:r w:rsidR="00DE6EB7">
        <w:t xml:space="preserve"> with suggestions for policy and future research</w:t>
      </w:r>
      <w:r w:rsidR="002D74FC">
        <w:t>.</w:t>
      </w:r>
    </w:p>
    <w:p w14:paraId="2A41D15E" w14:textId="7876D8A0" w:rsidR="00706AB6" w:rsidRDefault="00706AB6" w:rsidP="00353104">
      <w:pPr>
        <w:pStyle w:val="BodyText"/>
      </w:pPr>
    </w:p>
    <w:p w14:paraId="02615B54" w14:textId="77777777" w:rsidR="00706AB6" w:rsidRDefault="00706AB6" w:rsidP="00353104">
      <w:pPr>
        <w:pStyle w:val="BodyText"/>
      </w:pPr>
    </w:p>
    <w:p w14:paraId="5A3AD932" w14:textId="77777777" w:rsidR="00841816" w:rsidRDefault="00841816" w:rsidP="00D1654A">
      <w:pPr>
        <w:pStyle w:val="Heading1"/>
      </w:pPr>
      <w:bookmarkStart w:id="8" w:name="_Toc2003598"/>
      <w:r>
        <w:lastRenderedPageBreak/>
        <w:t>Background</w:t>
      </w:r>
      <w:bookmarkEnd w:id="8"/>
    </w:p>
    <w:p w14:paraId="1EAB4A74" w14:textId="092BBAB1" w:rsidR="00C81BD7" w:rsidRDefault="00C81BD7" w:rsidP="00C81BD7">
      <w:pPr>
        <w:pStyle w:val="BodyText"/>
      </w:pPr>
      <w:r w:rsidRPr="00C81BD7">
        <w:t xml:space="preserve">The relationship between walking and the built environment has </w:t>
      </w:r>
      <w:r w:rsidR="00531697">
        <w:t xml:space="preserve">had </w:t>
      </w:r>
      <w:r w:rsidR="005669E7">
        <w:t xml:space="preserve">a </w:t>
      </w:r>
      <w:r w:rsidRPr="000D0D60">
        <w:rPr>
          <w:noProof/>
        </w:rPr>
        <w:t>particular</w:t>
      </w:r>
      <w:r>
        <w:t xml:space="preserve"> </w:t>
      </w:r>
      <w:r w:rsidR="00CF57F2">
        <w:t>emphasis</w:t>
      </w:r>
      <w:r>
        <w:t xml:space="preserve"> </w:t>
      </w:r>
      <w:r w:rsidR="00C226F2">
        <w:rPr>
          <w:noProof/>
        </w:rPr>
        <w:t>o</w:t>
      </w:r>
      <w:r w:rsidRPr="000D0D60">
        <w:rPr>
          <w:noProof/>
        </w:rPr>
        <w:t>n</w:t>
      </w:r>
      <w:r>
        <w:t xml:space="preserve"> the </w:t>
      </w:r>
      <w:r w:rsidRPr="00C81BD7">
        <w:t>study of travel behavior. In 1997,</w:t>
      </w:r>
      <w:r w:rsidR="00CA7CDB">
        <w:t xml:space="preserve"> </w:t>
      </w:r>
      <w:r w:rsidR="00CA7CDB" w:rsidRPr="00142DCC">
        <w:fldChar w:fldCharType="begin"/>
      </w:r>
      <w:r w:rsidR="00CA7CDB">
        <w:instrText xml:space="preserve"> ADDIN ZOTERO_ITEM CSL_CITATION {"citationID":"yeu2F3uk","properties":{"formattedCitation":"(Cervero and Kockelman 1997)","plainCitation":"(Cervero and Kockelman 1997)"},"citationItems":[{"id":141,"uris":["http://zotero.org/users/4776332/items/36I5VWA3"],"uri":["http://zotero.org/users/4776332/items/36I5VWA3"],"itemData":{"id":141,"type":"article-journal","title":"Travel demand and the 3Ds: Density, diversity, and design","container-title":"Transportation Research Part D: Transport and Environment","page":"199-219","volume":"2","issue":"3","source":"ScienceDirect","abstract":"The built environment is thought to influence travel demand along three principal dimensions —density, diversity, and design. This paper tests this proposition by examining how the ‘3Ds’ affect trip rates and mode choice of residents in the San Francisco Bay Area. Using 1990 travel diary data and land-use records obtained from the U.S. census, regional inventories, and field surveys, models are estimated that relate features of the built environment to variations in vehicle miles traveled per household and mode choice, mainly for non-work trips. Factor analysis is used to linearly combine variables into the density and design dimensions of the built environment. The research finds that density, land-use diversity, and pedestrian-oriented designs generally reduce trip rates and encourage non-auto travel in statistically significant ways, though their influences appear to be fairly marginal. Elasticities between variables and factors that capture the 3Ds and various measures of travel demand are generally in the 0.06 to 0.18 range, expressed in absolute terms. Compact development was found to exert the strongest influence on personal business trips. Within-neighborhood retail shops, on the other hand, were most strongly associated with mode choice for work trips. And while a factor capturing ‘walking quality’ was only moderately related to mode choice for non-work trips, those living in neighborhoods with grid-iron street designs and restricted commercial parking were nonetheless found to average significantly less vehicle miles of travel and rely less on single-occupant vehicles for non-work trips. Overall, this research shows that the elasticities between each dimension of the built environment and travel demand are modest to moderate, though certainly not inconsequential. Thus it supports the contention of new urbanists and others that creating more compact, diverse, and pedestrian-orientated neighborhoods, in combination, can meaningfully influence how Americans travel.","DOI":"10.1016/S1361-9209(97)00009-6","ISSN":"1361-9209","shortTitle":"Travel demand and the 3Ds","journalAbbreviation":"Transportation Research Part D: Transport and Environment","author":[{"family":"Cervero","given":"Robert"},{"family":"Kockelman","given":"Kara"}],"issued":{"date-parts":[["1997",9,1]]}}}],"schema":"https://github.com/citation-style-language/schema/raw/master/csl-citation.json"} </w:instrText>
      </w:r>
      <w:r w:rsidR="00CA7CDB" w:rsidRPr="00142DCC">
        <w:fldChar w:fldCharType="separate"/>
      </w:r>
      <w:r w:rsidR="00CA7CDB" w:rsidRPr="00CA7CDB">
        <w:t xml:space="preserve">Cervero and </w:t>
      </w:r>
      <w:r w:rsidR="00CA7CDB" w:rsidRPr="005669E7">
        <w:rPr>
          <w:noProof/>
        </w:rPr>
        <w:t>Kockelman</w:t>
      </w:r>
      <w:r w:rsidR="00CA7CDB" w:rsidRPr="00142DCC">
        <w:rPr>
          <w:noProof/>
        </w:rPr>
        <w:fldChar w:fldCharType="end"/>
      </w:r>
      <w:r w:rsidRPr="00C81BD7">
        <w:t xml:space="preserve"> </w:t>
      </w:r>
      <w:r>
        <w:t xml:space="preserve">proposed three attributes to </w:t>
      </w:r>
      <w:r w:rsidR="004923C5">
        <w:t>characterize</w:t>
      </w:r>
      <w:r w:rsidRPr="00C81BD7">
        <w:t xml:space="preserve"> the built environment: diversity, design, and density (the D’s). Analyzing different </w:t>
      </w:r>
      <w:r>
        <w:t>metro areas from the US, they found that relationship between these variables and travel behavior a</w:t>
      </w:r>
      <w:r w:rsidR="004923C5">
        <w:t>re modest to moderate. Although</w:t>
      </w:r>
      <w:r>
        <w:t xml:space="preserve"> they did not find strong relationships for each variable, they did suggest that the synergy among the three could cause impacts that are more appreciable. </w:t>
      </w:r>
      <w:r w:rsidR="00531697">
        <w:t>O</w:t>
      </w:r>
      <w:r>
        <w:t>ther</w:t>
      </w:r>
      <w:r w:rsidR="00531697">
        <w:t xml:space="preserve"> studies, focusing explicitly on walking,</w:t>
      </w:r>
      <w:r>
        <w:t xml:space="preserve"> have found </w:t>
      </w:r>
      <w:r w:rsidR="00531697">
        <w:t xml:space="preserve">a </w:t>
      </w:r>
      <w:r>
        <w:t>strong</w:t>
      </w:r>
      <w:r w:rsidR="00531697">
        <w:t>er</w:t>
      </w:r>
      <w:r>
        <w:t xml:space="preserve"> </w:t>
      </w:r>
      <w:r w:rsidR="00531697">
        <w:t xml:space="preserve">association with </w:t>
      </w:r>
      <w:r>
        <w:t xml:space="preserve">the built environment. Two reviews </w:t>
      </w:r>
      <w:r w:rsidR="00CA7CDB">
        <w:fldChar w:fldCharType="begin"/>
      </w:r>
      <w:r w:rsidR="00143E33">
        <w:instrText xml:space="preserve"> ADDIN ZOTERO_ITEM CSL_CITATION {"citationID":"hO89NUp1","properties":{"formattedCitation":"(S. L. Handy et al. 2002; Frank 2000)","plainCitation":"(S. L. Handy et al. 2002; Frank 2000)"},"citationItems":[{"id":146,"uris":["http://zotero.org/users/4776332/items/J8BW5RCR"],"uri":["http://zotero.org/users/4776332/items/J8BW5RCR"],"itemData":{"id":146,"type":"article-journal","title":"How the built environment affects physical activity: Views from urban planning","container-title":"American Journal of Preventive Medicine","page":"64-73","volume":"23","issue":"2","source":"www.ajpmonline.org","DOI":"10.1016/S0749-3797(02)00475-0","ISSN":"0749-3797, 1873-2607","shortTitle":"How the built environment affects physical activity","journalAbbreviation":"American Journal of Preventive Medicine","language":"English","author":[{"family":"Handy","given":"Susan L."},{"family":"Boarnet","given":"Marlon G."},{"family":"Ewing","given":"Reid"},{"family":"Killingsworth","given":"Richard E."}],"issued":{"date-parts":[["2002",8,1]]}}},{"id":144,"uris":["http://zotero.org/users/4776332/items/N95QUK29"],"uri":["http://zotero.org/users/4776332/items/N95QUK29"],"itemData":{"id":144,"type":"article-journal","title":"Land Use and Transportation Interaction: Implications on Public Health and Quality of Life","container-title":"Journal of Planning Education and Research","page":"6-22","volume":"20","issue":"1","source":"SAGE Journals","abstract":"Increases in per capita vehicle usage and associated emissions have spawned an increased examination of the ways in which our communities and regions are developing. Associated with increased vehicle usage are decreased levels of walking and biking, two valid forms of physical activity. The Surgeon General’s 1996 report, Physical Activity and Health, highlights the increasing level of physical inactivity as a growing cause of mortality. The costs and benefits of contrasting land development and transportation investment practices have been the subject of considerable debate in the literature. Findings have been refuted based on methodological grounds and inaccurate interpretation of data. Several of these studies, their methodological approaches, and their critiques are analyzed. While most agree that the built environment influences travel, considerable disagreement exists over the likely impacts of increased density, mix, and street connectivity on air quality, and on transportation system performance and household activity patterns.","DOI":"10.1177/073945600128992564","ISSN":"0739-456X","shortTitle":"Land Use and Transportation Interaction","journalAbbreviation":"Journal of Planning Education and Research","language":"en","author":[{"family":"Frank","given":"Lawrence D."}],"issued":{"date-parts":[["2000",9,1]]}}}],"schema":"https://github.com/citation-style-language/schema/raw/master/csl-citation.json"} </w:instrText>
      </w:r>
      <w:r w:rsidR="00CA7CDB">
        <w:fldChar w:fldCharType="separate"/>
      </w:r>
      <w:r w:rsidR="00F95FE9">
        <w:t>(</w:t>
      </w:r>
      <w:r w:rsidR="00143E33" w:rsidRPr="00143E33">
        <w:t>Handy et al. 2002; Frank 2000)</w:t>
      </w:r>
      <w:r w:rsidR="00CA7CDB">
        <w:fldChar w:fldCharType="end"/>
      </w:r>
      <w:r>
        <w:t xml:space="preserve"> found positive</w:t>
      </w:r>
      <w:r w:rsidR="00531697">
        <w:t xml:space="preserve"> and significant</w:t>
      </w:r>
      <w:r>
        <w:t xml:space="preserve"> relationships between density and mixed land use with walking. In </w:t>
      </w:r>
      <w:r w:rsidR="00562C5E">
        <w:t xml:space="preserve">a </w:t>
      </w:r>
      <w:r w:rsidR="00804A8C">
        <w:t xml:space="preserve">2006 review, </w:t>
      </w:r>
      <w:r w:rsidR="00A364CE">
        <w:fldChar w:fldCharType="begin"/>
      </w:r>
      <w:r w:rsidR="00A364CE">
        <w:instrText xml:space="preserve"> ADDIN ZOTERO_ITEM CSL_CITATION {"citationID":"cgKxPS9Q","properties":{"formattedCitation":"(Sallis et al. 2006)","plainCitation":"(Sallis et al. 2006)"},"citationItems":[{"id":149,"uris":["http://zotero.org/users/4776332/items/55B4MAGV"],"uri":["http://zotero.org/users/4776332/items/55B4MAGV"],"itemData":{"id":149,"type":"article-journal","title":"An Ecological Approach to Creating Active Living Communities","container-title":"Annual Review of Public Health","page":"297-322","volume":"27","issue":"1","source":"Annual Reviews","abstract":"The thesis of this article is that multilevel interventions based on ecological models and targeting individuals, social environments, physical environments, and policies must be implemented to achieve population change in physical activity. A model is proposed that identifies potential environmental and policy influences on four domains of active living: recreation, transport, occupation, and household. Multilevel research and interventions require multiple disciplines to combine concepts and methods to create new transdisciplinary approaches. The contributions being made by a broad range of disciplines are summarized. Research to date supports a conclusion that there are multiple levels of influence on physical activity, and the active living domains are associated with different environmental variables. Continued research is needed to provide detailed findings that can inform improved designs of communities, transportation systems, and recreation facilities. Collaborations with policy researchers may improve the likelihood of translating research findings into changes in environments, policies, and practices.","DOI":"10.1146/annurev.publhealth.27.021405.102100","note":"PMID: 16533119","author":[{"family":"Sallis","given":"James F."},{"family":"Cervero","given":"Robert B."},{"family":"Ascher","given":"William"},{"family":"Henderson","given":"Karla A."},{"family":"Kraft","given":"M. Katherine"},{"family":"Kerr","given":"Jacqueline"}],"issued":{"date-parts":[["2006"]]}}}],"schema":"https://github.com/citation-style-language/schema/raw/master/csl-citation.json"} </w:instrText>
      </w:r>
      <w:r w:rsidR="00A364CE">
        <w:fldChar w:fldCharType="separate"/>
      </w:r>
      <w:r w:rsidR="00A364CE" w:rsidRPr="00A364CE">
        <w:t xml:space="preserve">Sallis et al. </w:t>
      </w:r>
      <w:r w:rsidR="00A364CE">
        <w:fldChar w:fldCharType="end"/>
      </w:r>
      <w:r w:rsidR="00531697">
        <w:t>found that s</w:t>
      </w:r>
      <w:r>
        <w:t>tudies have yielded surprisingly consistent results</w:t>
      </w:r>
      <w:r w:rsidR="00531697">
        <w:t xml:space="preserve"> but that utilitarian w</w:t>
      </w:r>
      <w:r>
        <w:t xml:space="preserve">alking </w:t>
      </w:r>
      <w:r w:rsidR="00531697">
        <w:t>(</w:t>
      </w:r>
      <w:r>
        <w:t>and cycling</w:t>
      </w:r>
      <w:r w:rsidR="00531697">
        <w:t>) is</w:t>
      </w:r>
      <w:r>
        <w:t xml:space="preserve"> generally higher in the </w:t>
      </w:r>
      <w:r w:rsidR="00531697">
        <w:t xml:space="preserve">areas with </w:t>
      </w:r>
      <w:r>
        <w:t xml:space="preserve">mixed uses, </w:t>
      </w:r>
      <w:r w:rsidR="00531697">
        <w:t xml:space="preserve">good </w:t>
      </w:r>
      <w:r>
        <w:t xml:space="preserve">street connectivity, and higher population densities. In another 2008 review, </w:t>
      </w:r>
      <w:r w:rsidR="00A364CE">
        <w:fldChar w:fldCharType="begin"/>
      </w:r>
      <w:r w:rsidR="00143E33">
        <w:instrText xml:space="preserve"> ADDIN ZOTERO_ITEM CSL_CITATION {"citationID":"nYo5fH6H","properties":{"formattedCitation":"(Saelens and Handy 2008)","plainCitation":"(Saelens and Handy 2008)"},"citationItems":[{"id":"un1Ot1kw/oiS6XK39","uris":["http://zotero.org/users/4776332/items/GQWAX936"],"uri":["http://zotero.org/users/4776332/items/GQWAX936"],"itemData":{"id":"un1Ot1kw/oiS6XK39","type":"article-journal","title":"Built Environment Correlates of Walking: A Review","container-title":"Medicine and science in sports and exercise","page":"S550-S566","volume":"40","issue":"7 Suppl","source":"PubMed Central","abstract":"Introduction\nThe past decade has seen a dramatic increase in the empirical investigation into the relations between built environmental and physical activity. To create places that facilitate and encourage walking, practitioners need an understanding of the specific characteristics of the built environment that correlate most strongly with walking. This paper reviews evidence on the built environment correlates with walking.\n\nMethod\nIncluded in this review were 13 reviews published between 2002 and 2006 and 29 original studies published in 2005 and up through May 2006. Results were summarized based on specific characteristics of the built environment and transportation walking versus recreational walking.\n\nResults\nPrevious reviews and newer studies document consistent positive relations between walking for transportation and density, distance to non-residential destinations, and land use mix; findings for route/network connectivity, parks and open space, and personal safety are more equivocal. Results regarding recreational walking were less clear.\n\nConclusions\nMore recent evidence supports the conclusions of prior reviews, and new studies address some of the limitations of earlier studies. Although prospective studies are needed, evidence on correlates appears sufficient to support policy changes.","DOI":"10.1249/MSS.0b013e31817c67a4","ISSN":"0195-9131","note":"PMID: 18562973\nPMCID: PMC2921187","shortTitle":"Built Environment Correlates of Walking","journalAbbreviation":"Med Sci Sports Exerc","author":[{"family":"Saelens","given":"Brian E."},{"family":"Handy","given":"Susan L."}],"issued":{"date-parts":[["2008",7]]}}}],"schema":"https://github.com/citation-style-language/schema/raw/master/csl-citation.json"} </w:instrText>
      </w:r>
      <w:r w:rsidR="00A364CE">
        <w:fldChar w:fldCharType="separate"/>
      </w:r>
      <w:r w:rsidR="00143E33" w:rsidRPr="00143E33">
        <w:t>Saelens and Handy</w:t>
      </w:r>
      <w:r w:rsidR="00A364CE">
        <w:fldChar w:fldCharType="end"/>
      </w:r>
      <w:r w:rsidR="00A364CE">
        <w:t xml:space="preserve"> </w:t>
      </w:r>
      <w:r w:rsidR="00744CA2">
        <w:t xml:space="preserve">(2008) </w:t>
      </w:r>
      <w:r>
        <w:t xml:space="preserve">found more consistency among these same relationships even after </w:t>
      </w:r>
      <w:r w:rsidR="00531697">
        <w:t xml:space="preserve">controlling for </w:t>
      </w:r>
      <w:r>
        <w:t xml:space="preserve">self-selection. However, they found </w:t>
      </w:r>
      <w:r w:rsidR="00AF0312">
        <w:t xml:space="preserve">evidence in </w:t>
      </w:r>
      <w:r>
        <w:t xml:space="preserve">some studies indicating that the random samples </w:t>
      </w:r>
      <w:r w:rsidR="00D578AB">
        <w:t xml:space="preserve">of travel observations taken </w:t>
      </w:r>
      <w:r>
        <w:t xml:space="preserve">from </w:t>
      </w:r>
      <w:r w:rsidR="00D578AB">
        <w:t xml:space="preserve">the </w:t>
      </w:r>
      <w:r>
        <w:t>general population do not ensure sufficient variation and that multicollinearity among built environment characteristics make</w:t>
      </w:r>
      <w:r w:rsidR="004923C5">
        <w:t>s</w:t>
      </w:r>
      <w:r>
        <w:t xml:space="preserve"> it hard to identify the unique contribution of a specific attribute. </w:t>
      </w:r>
    </w:p>
    <w:p w14:paraId="2C53FE36" w14:textId="7CB13593" w:rsidR="008B288F" w:rsidRDefault="00C81BD7" w:rsidP="00C81BD7">
      <w:pPr>
        <w:pStyle w:val="BodyText"/>
      </w:pPr>
      <w:r w:rsidRPr="00ED6884">
        <w:t xml:space="preserve">None of the studies acknowledges any </w:t>
      </w:r>
      <w:r w:rsidR="00031C9D">
        <w:t xml:space="preserve">location </w:t>
      </w:r>
      <w:r w:rsidRPr="00ED6884">
        <w:t>bias in</w:t>
      </w:r>
      <w:r w:rsidR="00FD5707">
        <w:t xml:space="preserve"> the selection of</w:t>
      </w:r>
      <w:r w:rsidR="000D064A">
        <w:t xml:space="preserve"> study</w:t>
      </w:r>
      <w:r w:rsidR="00031C9D">
        <w:t xml:space="preserve"> participants</w:t>
      </w:r>
      <w:r w:rsidR="00FD5707">
        <w:t xml:space="preserve">. Specifically, there is a lack of variation in </w:t>
      </w:r>
      <w:r w:rsidR="005669E7">
        <w:t xml:space="preserve">the </w:t>
      </w:r>
      <w:r w:rsidR="00FD5707" w:rsidRPr="000D0D60">
        <w:rPr>
          <w:noProof/>
        </w:rPr>
        <w:t>overall</w:t>
      </w:r>
      <w:r w:rsidRPr="00ED6884">
        <w:t xml:space="preserve"> urban structure</w:t>
      </w:r>
      <w:r w:rsidR="00FD5707">
        <w:t xml:space="preserve"> and range of built environments tested</w:t>
      </w:r>
      <w:r w:rsidR="000D064A">
        <w:t xml:space="preserve"> in the literature</w:t>
      </w:r>
      <w:r w:rsidRPr="00ED6884">
        <w:t>.</w:t>
      </w:r>
      <w:r>
        <w:t xml:space="preserve"> As noted by Saelens and Handy, the </w:t>
      </w:r>
      <w:r w:rsidR="004923C5">
        <w:t>majority of studies are based on</w:t>
      </w:r>
      <w:r>
        <w:t xml:space="preserve"> a small number of countries including the US. Overall residential densities in the US are the lowest in the world </w:t>
      </w:r>
      <w:r w:rsidR="00143E33">
        <w:fldChar w:fldCharType="begin"/>
      </w:r>
      <w:r w:rsidR="00143E33">
        <w:instrText xml:space="preserve"> ADDIN ZOTERO_ITEM CSL_CITATION {"citationID":"SAaVjJWQ","properties":{"formattedCitation":"(Newman 2014; Huang et al. 2007)","plainCitation":"(Newman 2014; Huang et al. 2007)"},"citationItems":[{"id":154,"uris":["http://zotero.org/users/4776332/items/D883DPMU"],"uri":["http://zotero.org/users/4776332/items/D883DPMU"],"itemData":{"id":154,"type":"article-journal","title":"Density, the Sustainability Multiplier: Some Myths and Truths with Application to Perth, Australia","container-title":"Sustainability","page":"6467-6487","volume":"6","issue":"9","source":"www.mdpi.com","abstract":"The paper suggests that the divisive urban issue of density has critical importance for sustainability. It is particularly important to resolve for the low density car dependent cities of the world as they are highly resource consumptive. Ten myths about density and 10 truths about density are proposed to help resolve the planning issues so commonly found to divide urban communities. They are applied with data to Perth to illustrate the issues and how they can be resolved.","DOI":"10.3390/su6096467","shortTitle":"Density, the Sustainability Multiplier","language":"en","author":[{"family":"Newman","given":"Peter"}],"issued":{"date-parts":[["2014",9,25]]}}},{"id":155,"uris":["http://zotero.org/users/4776332/items/QR4PBJ7A"],"uri":["http://zotero.org/users/4776332/items/QR4PBJ7A"],"itemData":{"id":155,"type":"article-journal","title":"A global comparative analysis of urban form: Applying spatial metrics and remote sensing","container-title":"Landscape and Urban Planning","page":"184-197","volume":"82","issue":"4","source":"ScienceDirect","abstract":"Currently, debates over urban form have generally focused on the contrast between the “sprawl” often seen as typical of the United States and “compact” urban forms found in parts of Europe. Although these debates are presumed to have implications for developing worlds as well, systematic comparison of urban forms between developed and developing countries has been lacking. This paper utilized satellite images of 77 metropolitan areas in Asia, US, Europe, Latin America and Australia to calculate seven spatial metrics that capture five distinct dimensions of urban form. Comparison of the spatial metrics was firstly made between developed and developing countries, and then among world regions. A cluster analysis classifies the cities into groups in terms of these spatial metrics. The paper also explored the origins of differences in urban form through comparison with socio-economic developmental indicators and historical trajectories in urban development. The result clearly demonstrates that urban agglomerations of developing world are more compact and dense than their counterparts in either Europe or North America. Moreover, there are also striking differences in urban form across regions.","DOI":"10.1016/j.landurbplan.2007.02.010","ISSN":"0169-2046","shortTitle":"A global comparative analysis of urban form","journalAbbreviation":"Landscape and Urban Planning","author":[{"family":"Huang","given":"Jingnan"},{"family":"Lu","given":"X. X."},{"family":"Sellers","given":"Jefferey M."}],"issued":{"date-parts":[["2007",10,17]]}}}],"schema":"https://github.com/citation-style-language/schema/raw/master/csl-citation.json"} </w:instrText>
      </w:r>
      <w:r w:rsidR="00143E33">
        <w:fldChar w:fldCharType="separate"/>
      </w:r>
      <w:r w:rsidR="00143E33" w:rsidRPr="00143E33">
        <w:t>(Newman 2014; Huang et al. 2007)</w:t>
      </w:r>
      <w:r w:rsidR="00143E33">
        <w:fldChar w:fldCharType="end"/>
      </w:r>
      <w:r w:rsidR="00143E33">
        <w:t xml:space="preserve">. </w:t>
      </w:r>
      <w:r>
        <w:t xml:space="preserve">Additionally, the low level of compactness </w:t>
      </w:r>
      <w:r w:rsidR="00143E33">
        <w:fldChar w:fldCharType="begin"/>
      </w:r>
      <w:r w:rsidR="00143E33">
        <w:instrText xml:space="preserve"> ADDIN ZOTERO_ITEM CSL_CITATION {"citationID":"qplK3p0c","properties":{"formattedCitation":"(Huang et al. 2007)","plainCitation":"(Huang et al. 2007)"},"citationItems":[{"id":155,"uris":["http://zotero.org/users/4776332/items/QR4PBJ7A"],"uri":["http://zotero.org/users/4776332/items/QR4PBJ7A"],"itemData":{"id":155,"type":"article-journal","title":"A global comparative analysis of urban form: Applying spatial metrics and remote sensing","container-title":"Landscape and Urban Planning","page":"184-197","volume":"82","issue":"4","source":"ScienceDirect","abstract":"Currently, debates over urban form have generally focused on the contrast between the “sprawl” often seen as typical of the United States and “compact” urban forms found in parts of Europe. Although these debates are presumed to have implications for developing worlds as well, systematic comparison of urban forms between developed and developing countries has been lacking. This paper utilized satellite images of 77 metropolitan areas in Asia, US, Europe, Latin America and Australia to calculate seven spatial metrics that capture five distinct dimensions of urban form. Comparison of the spatial metrics was firstly made between developed and developing countries, and then among world regions. A cluster analysis classifies the cities into groups in terms of these spatial metrics. The paper also explored the origins of differences in urban form through comparison with socio-economic developmental indicators and historical trajectories in urban development. The result clearly demonstrates that urban agglomerations of developing world are more compact and dense than their counterparts in either Europe or North America. Moreover, there are also striking differences in urban form across regions.","DOI":"10.1016/j.landurbplan.2007.02.010","ISSN":"0169-2046","shortTitle":"A global comparative analysis of urban form","journalAbbreviation":"Landscape and Urban Planning","author":[{"family":"Huang","given":"Jingnan"},{"family":"Lu","given":"X. X."},{"family":"Sellers","given":"Jefferey M."}],"issued":{"date-parts":[["2007",10,17]]}}}],"schema":"https://github.com/citation-style-language/schema/raw/master/csl-citation.json"} </w:instrText>
      </w:r>
      <w:r w:rsidR="00143E33">
        <w:fldChar w:fldCharType="separate"/>
      </w:r>
      <w:r w:rsidR="00143E33" w:rsidRPr="00143E33">
        <w:t>(Huang et al. 2007)</w:t>
      </w:r>
      <w:r w:rsidR="00143E33">
        <w:fldChar w:fldCharType="end"/>
      </w:r>
      <w:r>
        <w:t xml:space="preserve"> add</w:t>
      </w:r>
      <w:r w:rsidR="004923C5">
        <w:t>s</w:t>
      </w:r>
      <w:r>
        <w:t xml:space="preserve"> the question of whether the density gradients have a role. Furthermore, having low residential densities on average means higher density areas may be scarce, thus, making them “hidden populations” or “hard-to-reach populations” for gathering travel behavior data from surveys. This means that the sampling process has to be very large to</w:t>
      </w:r>
      <w:r w:rsidR="00562C5E">
        <w:t xml:space="preserve"> have a good accuracy level</w:t>
      </w:r>
      <w:r>
        <w:t xml:space="preserve">, or that places with a desirable density for walking may be nonexistent in many cases, especially in smaller size cities or towns. Thus, empirically-derived relationships between walking and the built environment using only lower-density observations may not apply to higher-density places or regions. A study of differences between major cities and rural small towns found that smaller towns did not have </w:t>
      </w:r>
      <w:r w:rsidR="00031C9D">
        <w:t xml:space="preserve">the nearby </w:t>
      </w:r>
      <w:r>
        <w:t>destinations</w:t>
      </w:r>
      <w:r w:rsidR="00031C9D">
        <w:t xml:space="preserve"> to support</w:t>
      </w:r>
      <w:r>
        <w:t xml:space="preserve"> walking</w:t>
      </w:r>
      <w:r w:rsidR="00031C9D">
        <w:t>,</w:t>
      </w:r>
      <w:r>
        <w:t xml:space="preserve"> compared with city centers of major metropolitan areas tha</w:t>
      </w:r>
      <w:r w:rsidR="00562C5E">
        <w:t xml:space="preserve">t did have close destinations </w:t>
      </w:r>
      <w:r w:rsidR="00143E33">
        <w:fldChar w:fldCharType="begin"/>
      </w:r>
      <w:r w:rsidR="00143E33">
        <w:instrText xml:space="preserve"> ADDIN ZOTERO_ITEM CSL_CITATION {"citationID":"OsKqwbly","properties":{"formattedCitation":"(Stewart et al. 2016)","plainCitation":"(Stewart et al. 2016)"},"citationItems":[{"id":157,"uris":["http://zotero.org/users/4776332/items/M9QL8R8A"],"uri":["http://zotero.org/users/4776332/items/M9QL8R8A"],"itemData":{"id":157,"type":"article-journal","title":"Comparing Associations Between the Built Environment and Walking in Rural Small Towns and a Large Metropolitan Area","container-title":"Environment and Behavior","page":"13-36","volume":"48","issue":"1","source":"SAGE Journals","abstract":"The association between the built environment (BE) and walking has been studied extensively in urban areas, yet little is known whether the same associations hold for smaller, rural towns. This analysis examined objective measures of the BE around participants’ residence and their utilitarian and recreational walking from two studies, one in the urban Seattle area (n = 464) and the other in nine small U.S. towns (n = 299). After adjusting for sociodemographics, small town residents walked less for utilitarian purposes but more for recreational purposes. These differences were largely explained by differential associations of the BE on walking in the two settings. In Seattle, the number of neighborhood restaurants was positively associated with utilitarian walking, but in small towns, the association was negative. In small towns, perception of slow traffic on nearby streets was positively associated with recreational walking, but not in Seattle. These observations suggest that urban–rural context matters when planning BE interventions to support walking.","DOI":"10.1177/0013916515612253","ISSN":"0013-9165","journalAbbreviation":"Environment and Behavior","language":"en","author":[{"family":"Stewart","given":"Orion T."},{"family":"Vernez Moudon","given":"Anne"},{"family":"Saelens","given":"Brian E."},{"family":"Lee","given":"Chanam"},{"family":"Kang","given":"Bumjoon"},{"family":"Doescher","given":"Mark P."}],"issued":{"date-parts":[["2016",1,1]]}}}],"schema":"https://github.com/citation-style-language/schema/raw/master/csl-citation.json"} </w:instrText>
      </w:r>
      <w:r w:rsidR="00143E33">
        <w:fldChar w:fldCharType="separate"/>
      </w:r>
      <w:r w:rsidR="00143E33" w:rsidRPr="00143E33">
        <w:t>(Stewart et al. 2016)</w:t>
      </w:r>
      <w:r w:rsidR="00143E33">
        <w:fldChar w:fldCharType="end"/>
      </w:r>
      <w:r w:rsidR="00143E33">
        <w:t>.</w:t>
      </w:r>
    </w:p>
    <w:p w14:paraId="2D4C2EB1" w14:textId="376DCE86" w:rsidR="00C81BD7" w:rsidRDefault="00C81BD7" w:rsidP="00C81BD7">
      <w:pPr>
        <w:pStyle w:val="BodyText"/>
      </w:pPr>
      <w:r>
        <w:t>Another significant approach to determine the degree to which built environment characteristics affect</w:t>
      </w:r>
      <w:r w:rsidR="004923C5">
        <w:t>s</w:t>
      </w:r>
      <w:r>
        <w:t xml:space="preserve"> travel behavior has been the calculation of elasticities from a meta-analysis or meta-regressions </w:t>
      </w:r>
      <w:r w:rsidR="00143E33">
        <w:fldChar w:fldCharType="begin"/>
      </w:r>
      <w:r w:rsidR="00143E33">
        <w:instrText xml:space="preserve"> ADDIN ZOTERO_ITEM CSL_CITATION {"citationID":"Ch3HRMz0","properties":{"formattedCitation":"(Ewing and Cervero 2010; Stevens 2017)","plainCitation":"(Ewing and Cervero 2010; Stevens 2017)"},"citationItems":[{"id":160,"uris":["http://zotero.org/users/4776332/items/Y2PUR8RQ"],"uri":["http://zotero.org/users/4776332/items/Y2PUR8RQ"],"itemData":{"id":160,"type":"article-journal","title":"Travel and the Built Environment","container-title":"Journal of the American Planning Association","page":"265-294","volume":"76","issue":"3","source":"Taylor and Francis+NEJM","abstract":"Problem: Localities and states are turning to land planning and urban design for help in reducing automobile use and related social and environmental costs. The effects of such strategies on travel demand have not been generalized in recent years from the multitude of available studies. Purpose: We conducted a meta-analysis of the built environment-travel literature existing at the end of 2009 in order to draw generalizable conclusions for practice. We aimed to quantify effect sizes, update earlier work, include additional outcome measures, and address the methodological issue of self-selection. Methods: We computed elasticities for individual studies and pooled them to produce weighted averages. Results and conclusions: Travel variables are generally inelastic with respect to change in measures of the built environment. Of the environmental variables considered here, none has a weighted average travel elasticity of absolute magnitude greater than 0.39, and most are much less. Still, the combined effect of several such variables on travel could be quite large. Consistent with prior work, we find that vehicle miles traveled (VMT) is most strongly related to measures of accessibility to destinations and secondarily to street network design variables. Walking is most strongly related to measures of land use diversity, intersection density, and the number of destinations within walking distance. Bus and train use are equally related to proximity to transit and street network design variables, with land use diversity a secondary factor. Surprisingly, we find population and job densities to be only weakly associated with travel behavior once these other variables are controlled. Takeaway for practice: The elasticities we derived in this meta-analysis may be used to adjust outputs of travel or activity models that are otherwise insensitive to variation in the built environment, or be used in sketch planning applications ranging from climate action plans to health impact assessments. However, because sample sizes are small, and very few studies control for residential preferences and attitudes, we cannot say that planners should generalize broadly from our results. While these elasticities are as accurate as currently possible, they should be understood to contain unknown error and have unknown confidence intervals. They provide a base, and as more built-environment/travel studies appear in the planning literature, these elasticities should be updated and refined. Research support: U.S. Environmental Protection Agency.","DOI":"10.1080/01944361003766766","ISSN":"0194-4363","author":[{"family":"Ewing","given":"Reid"},{"family":"Cervero","given":"Robert"}],"issued":{"date-parts":[["2010",6,21]]}}},{"id":118,"uris":["http://zotero.org/users/4776332/items/74UTMZHK"],"uri":["http://zotero.org/users/4776332/items/74UTMZHK"],"itemData":{"id":118,"type":"article-journal","title":"Does Compact Development Make People Drive Less?","container-title":"Journal of the American Planning Association","page":"7-18","volume":"83","issue":"1","source":"Taylor and Francis+NEJM","abstract":"Problem, research strategy, and findings: Planners commonly recommend compact development in part as a way of getting people to drive less, with the idea that less driving will lead to more sustainable communities. Planners base their recommendations on a substantial body of research that examines the impact of compact development on driving. Different studies, however, have found different outcomes: Some studies find that compact development causes people to drive less, while other studies do not. I use meta-regression analysis to a) explain why different studies on driving and compact development yield different results, and b) combine different findings from many studies into reliable statistics that can better inform planning practice. I address the following questions: Does compact development make people drive less, and if so, how much less? I find that compact development does make people drive less, because most of the compact development features I study have a statistically significant negative influence on driving. The impact, however, is fairly small: Compact development features do not appear to have much influence on driving. My findings are limited to some extent because they are derived from small sample sizes.Takeaway for practice: Planners should not rely on compact development as their only strategy for reducing driving unless their goals for reduced driving are very modest and can be achieved at a low cost.","DOI":"10.1080/01944363.2016.1240044","ISSN":"0194-4363","author":[{"family":"Stevens","given":"Mark R."}],"issued":{"date-parts":[["2017",1,2]]}}}],"schema":"https://github.com/citation-style-language/schema/raw/master/csl-citation.json"} </w:instrText>
      </w:r>
      <w:r w:rsidR="00143E33">
        <w:fldChar w:fldCharType="separate"/>
      </w:r>
      <w:r w:rsidR="00143E33" w:rsidRPr="00143E33">
        <w:t>(Ewing and Cervero 2010; Stevens 2017)</w:t>
      </w:r>
      <w:r w:rsidR="00143E33">
        <w:fldChar w:fldCharType="end"/>
      </w:r>
      <w:r>
        <w:t xml:space="preserve">. This has been done for different cities and samples, with estimated elasticities of built environment variables ranging 0.0–0.3, suggesting an inelastic relationship with walking. Further discussions have focused on establishing the relative vs. absolute magnitude of this number (is it large or not?) but have neglected the potential complementarity among those variables characterizing the built environment. Besides, this approach avoids the discussion of multicollinearity in the characteristics of the built environment. The latest debates have centered on the usefulness of these methods </w:t>
      </w:r>
      <w:r w:rsidR="00143E33">
        <w:fldChar w:fldCharType="begin"/>
      </w:r>
      <w:r w:rsidR="001B1E4A">
        <w:instrText xml:space="preserve"> ADDIN ZOTERO_ITEM CSL_CITATION {"citationID":"D8Y6Y1Hk","properties":{"formattedCitation":"(K. J. Clifton 2017; S. Handy 2017; Ewing and Cervero 2017)","plainCitation":"(K. J. Clifton 2017; S. Handy 2017; Ewing and Cervero 2017)"},"citationItems":[{"id":163,"uris":["http://zotero.org/users/4776332/items/X6D4VYJQ"],"uri":["http://zotero.org/users/4776332/items/X6D4VYJQ"],"itemData":{"id":163,"type":"article-journal","title":"Getting From Here to There: Comment on “Does Compact Development Make People Drive Less?”","container-title":"Journal of the American Planning Association","page":"148-151","volume":"83","issue":"2","source":"Taylor and Francis+NEJM","DOI":"10.1080/01944363.2017.1290494","ISSN":"0194-4363","shortTitle":"Getting From Here to There","author":[{"family":"Clifton","given":"Kelly J."}],"issued":{"date-parts":[["2017",4,3]]}}},{"id":166,"uris":["http://zotero.org/users/4776332/items/8AH3IJUA"],"uri":["http://zotero.org/users/4776332/items/8AH3IJUA"],"itemData":{"id":166,"type":"article-journal","title":"Thoughts on the Meaning of Mark Stevens’s Meta-Analysis","container-title":"Journal of the American Planning Association","page":"26-28","volume":"83","issue":"1","source":"Taylor and Francis+NEJM","DOI":"10.1080/01944363.2016.1246379","ISSN":"0194-4363","author":[{"family":"Handy","given":"Susan"}],"issued":{"date-parts":[["2017",1,2]]}}},{"id":169,"uris":["http://zotero.org/users/4776332/items/7EVYM93P"],"uri":["http://zotero.org/users/4776332/items/7EVYM93P"],"itemData":{"id":169,"type":"article-journal","title":"“Does Compact Development Make People Drive Less?” The Answer Is Yes","container-title":"Journal of the American Planning Association","page":"19-25","volume":"83","issue":"1","source":"Taylor and Francis+NEJM","DOI":"10.1080/01944363.2016.1245112","ISSN":"0194-4363","shortTitle":"“Does Compact Development Make People Drive Less?","author":[{"family":"Ewing","given":"Reid"},{"family":"Cervero","given":"Robert"}],"issued":{"date-parts":[["2017",1,2]]}}}],"schema":"https://github.com/citation-style-language/schema/raw/master/csl-citation.json"} </w:instrText>
      </w:r>
      <w:r w:rsidR="00143E33">
        <w:fldChar w:fldCharType="separate"/>
      </w:r>
      <w:r w:rsidR="001B1E4A">
        <w:t xml:space="preserve">(Clifton 2017; </w:t>
      </w:r>
      <w:r w:rsidR="001B1E4A" w:rsidRPr="001B1E4A">
        <w:lastRenderedPageBreak/>
        <w:t>Handy 2017; Ewing and Cervero 2017)</w:t>
      </w:r>
      <w:r w:rsidR="00143E33">
        <w:fldChar w:fldCharType="end"/>
      </w:r>
      <w:r>
        <w:t xml:space="preserve">, as they have become common among different fields. The main concerns regarding these methods are the absence of longitudinal studies as well as the assumptions of linearity behind them, as there may be evidence that is not the case </w:t>
      </w:r>
      <w:r w:rsidR="00143E33">
        <w:fldChar w:fldCharType="begin"/>
      </w:r>
      <w:r w:rsidR="00143E33">
        <w:instrText xml:space="preserve"> ADDIN ZOTERO_ITEM CSL_CITATION {"citationID":"vsT5EfPK","properties":{"formattedCitation":"(Talen and Koschinsky 2014)","plainCitation":"(Talen and Koschinsky 2014)"},"citationItems":[{"id":172,"uris":["http://zotero.org/users/4776332/items/ZNWMPMNK"],"uri":["http://zotero.org/users/4776332/items/ZNWMPMNK"],"itemData":{"id":172,"type":"article-journal","title":"Compact, Walkable, Diverse Neighborhoods:Assessing Effects on Residents","container-title":"Housing Policy Debate","page":"717-750","volume":"24","issue":"4","source":"Taylor and Francis+NEJM","abstract":"What research supports the view that compact, walkable, diverse (CWD) neighborhoods are beneficial for urban residents? To make this assessment, we searched the literature to try to understand the current status of evidence regarding claims about the CWD neighborhood. We find that research linking CWD neighborhoods to effects on residents coalesces around three main topics: social relations, health, and safety. We conclude that on the basis of the literature reviewed, most of the intended benefits of the CWD neighborhood have been researched and found to have significant, positive effects for urban dwellers. While physical factors are but one element affecting behavior and outcomes, and the issues of self-selection and causality remain, overall, key dimensions of the CWD neighborhood have been found to positively affect social interaction, health, and safety.","DOI":"10.1080/10511482.2014.900102","ISSN":"1051-1482","shortTitle":"Compact, Walkable, Diverse Neighborhoods","author":[{"family":"Talen","given":"Emily"},{"family":"Koschinsky","given":"Julia"}],"issued":{"date-parts":[["2014",10,2]]}}}],"schema":"https://github.com/citation-style-language/schema/raw/master/csl-citation.json"} </w:instrText>
      </w:r>
      <w:r w:rsidR="00143E33">
        <w:fldChar w:fldCharType="separate"/>
      </w:r>
      <w:r w:rsidR="00143E33" w:rsidRPr="00143E33">
        <w:t>(Talen and Koschinsky 2014)</w:t>
      </w:r>
      <w:r w:rsidR="00143E33">
        <w:fldChar w:fldCharType="end"/>
      </w:r>
      <w:r>
        <w:t xml:space="preserve">. </w:t>
      </w:r>
    </w:p>
    <w:p w14:paraId="5EA8044E" w14:textId="63C5D63E" w:rsidR="00326721" w:rsidRDefault="00C81BD7" w:rsidP="00C81BD7">
      <w:pPr>
        <w:pStyle w:val="BodyText"/>
      </w:pPr>
      <w:r>
        <w:t xml:space="preserve">Although these issues may be responsible for mixed results </w:t>
      </w:r>
      <w:r w:rsidR="00DB0DB8">
        <w:t xml:space="preserve">in studies of </w:t>
      </w:r>
      <w:r>
        <w:t xml:space="preserve">the relationships between walking and the built environment, there is extensive evidence that these relationships exist. Nevertheless, there is </w:t>
      </w:r>
      <w:r w:rsidRPr="000D0D60">
        <w:rPr>
          <w:noProof/>
        </w:rPr>
        <w:t>no</w:t>
      </w:r>
      <w:r>
        <w:t xml:space="preserve"> consensus </w:t>
      </w:r>
      <w:r w:rsidR="00DB0DB8">
        <w:t xml:space="preserve">around </w:t>
      </w:r>
      <w:r>
        <w:t xml:space="preserve">the level or magnitude of </w:t>
      </w:r>
      <w:r w:rsidR="00DB0DB8">
        <w:t>effects and suggests that findings may have limited</w:t>
      </w:r>
      <w:r>
        <w:t xml:space="preserve"> </w:t>
      </w:r>
      <w:r w:rsidRPr="005669E7">
        <w:rPr>
          <w:noProof/>
        </w:rPr>
        <w:t>applicability</w:t>
      </w:r>
      <w:r w:rsidR="005669E7">
        <w:rPr>
          <w:noProof/>
        </w:rPr>
        <w:t xml:space="preserve"> in</w:t>
      </w:r>
      <w:r>
        <w:t xml:space="preserve"> </w:t>
      </w:r>
      <w:r w:rsidR="00DB0DB8">
        <w:t>other locations</w:t>
      </w:r>
      <w:r>
        <w:t>.</w:t>
      </w:r>
      <w:r w:rsidR="00804A8C">
        <w:t xml:space="preserve"> This project tri</w:t>
      </w:r>
      <w:r w:rsidR="00C93978">
        <w:t>es to fill these gaps by building</w:t>
      </w:r>
      <w:r w:rsidR="00804A8C">
        <w:t xml:space="preserve"> </w:t>
      </w:r>
      <w:r w:rsidR="00C93978">
        <w:t>and</w:t>
      </w:r>
      <w:r w:rsidR="00804A8C">
        <w:t xml:space="preserve"> </w:t>
      </w:r>
      <w:r w:rsidR="00C93978">
        <w:t>testing</w:t>
      </w:r>
      <w:r w:rsidR="00804A8C">
        <w:t xml:space="preserve"> new indicators of the built environment from data sources that are more available a</w:t>
      </w:r>
      <w:r w:rsidR="004923C5">
        <w:t>nd from there test how transfer</w:t>
      </w:r>
      <w:r w:rsidR="00804A8C">
        <w:t xml:space="preserve">able are the measures among cities. </w:t>
      </w:r>
    </w:p>
    <w:p w14:paraId="5F5A4672" w14:textId="3E469510" w:rsidR="00DB0DB8" w:rsidRDefault="00143E33" w:rsidP="00C81BD7">
      <w:pPr>
        <w:pStyle w:val="BodyText"/>
      </w:pPr>
      <w:r>
        <w:fldChar w:fldCharType="begin"/>
      </w:r>
      <w:r>
        <w:instrText xml:space="preserve"> ADDIN ZOTERO_ITEM CSL_CITATION {"citationID":"ikOgcMCS","properties":{"formattedCitation":"(Fox et al. 2014)","plainCitation":"(Fox et al. 2014)"},"citationItems":[{"id":66,"uris":["http://zotero.org/users/4776332/items/DZHXKNX5"],"uri":["http://zotero.org/users/4776332/items/DZHXKNX5"],"itemData":{"id":66,"type":"article-journal","title":"Temporal transferability of models of mode-destination choice for the Greater Toronto and Hamilton Area","container-title":"Journal of Transport and Land Use","page":"41","volume":"7","issue":"2","source":"CrossRef","DOI":"10.5198/jtlu.v7i2.701","ISSN":"1938-7849","author":[{"family":"Fox","given":"James"},{"family":"Daly","given":"Andrew"},{"family":"Hess","given":"Stephane"},{"family":"Miller","given":"Eric"}],"issued":{"date-parts":[["2014",7,28]]}}}],"schema":"https://github.com/citation-style-language/schema/raw/master/csl-citation.json"} </w:instrText>
      </w:r>
      <w:r>
        <w:fldChar w:fldCharType="separate"/>
      </w:r>
      <w:r w:rsidRPr="00143E33">
        <w:t xml:space="preserve">Fox et al. </w:t>
      </w:r>
      <w:r>
        <w:t>(</w:t>
      </w:r>
      <w:r w:rsidRPr="00143E33">
        <w:t>2014)</w:t>
      </w:r>
      <w:r>
        <w:fldChar w:fldCharType="end"/>
      </w:r>
      <w:r>
        <w:t xml:space="preserve"> </w:t>
      </w:r>
      <w:r w:rsidR="00DB0DB8">
        <w:t>identify</w:t>
      </w:r>
      <w:r w:rsidR="007D4567">
        <w:t xml:space="preserve"> a clear distinction between two types of </w:t>
      </w:r>
      <w:r w:rsidR="00FD5707">
        <w:t xml:space="preserve">model </w:t>
      </w:r>
      <w:r w:rsidR="007D4567">
        <w:t xml:space="preserve">transferability: temporal </w:t>
      </w:r>
      <w:r w:rsidR="00DB0DB8">
        <w:t xml:space="preserve">transferability </w:t>
      </w:r>
      <w:r w:rsidR="007D4567">
        <w:t xml:space="preserve">that refers to the validity of the models for </w:t>
      </w:r>
      <w:r w:rsidR="007D4567" w:rsidRPr="005669E7">
        <w:rPr>
          <w:noProof/>
        </w:rPr>
        <w:t>long</w:t>
      </w:r>
      <w:r w:rsidR="005669E7">
        <w:rPr>
          <w:noProof/>
        </w:rPr>
        <w:t>-</w:t>
      </w:r>
      <w:r w:rsidR="007D4567" w:rsidRPr="005669E7">
        <w:rPr>
          <w:noProof/>
        </w:rPr>
        <w:t>term</w:t>
      </w:r>
      <w:r w:rsidR="007D4567">
        <w:t xml:space="preserve"> predictions, and spatial </w:t>
      </w:r>
      <w:r w:rsidR="00DB0DB8">
        <w:t xml:space="preserve">transferability </w:t>
      </w:r>
      <w:r w:rsidR="007D4567">
        <w:t xml:space="preserve">that refers to the validity of models across different regions. </w:t>
      </w:r>
      <w:r w:rsidR="00DB0DB8">
        <w:t xml:space="preserve">For </w:t>
      </w:r>
      <w:r w:rsidR="007D4567">
        <w:t xml:space="preserve">both </w:t>
      </w:r>
      <w:r w:rsidR="00F04156">
        <w:t>types of transferability</w:t>
      </w:r>
      <w:r w:rsidR="00DB0DB8">
        <w:t>,</w:t>
      </w:r>
      <w:r w:rsidR="00F04156">
        <w:t xml:space="preserve"> there </w:t>
      </w:r>
      <w:r w:rsidR="00DB0DB8">
        <w:t xml:space="preserve">are </w:t>
      </w:r>
      <w:r w:rsidR="00F04156">
        <w:t xml:space="preserve">methods to test </w:t>
      </w:r>
      <w:r w:rsidR="00DB0DB8">
        <w:t>model transferability</w:t>
      </w:r>
      <w:r w:rsidR="00E57629">
        <w:t xml:space="preserve"> </w:t>
      </w:r>
      <w:r w:rsidR="00E57629">
        <w:fldChar w:fldCharType="begin"/>
      </w:r>
      <w:r w:rsidR="00E57629">
        <w:instrText xml:space="preserve"> ADDIN ZOTERO_ITEM CSL_CITATION {"citationID":"4xcBaIyk","properties":{"formattedCitation":"(Ben-Akiva 1981; Lerman 1981)","plainCitation":"(Ben-Akiva 1981; Lerman 1981)"},"citationItems":[{"id":198,"uris":["http://zotero.org/users/4776332/items/QU2UB7QU"],"uri":["http://zotero.org/users/4776332/items/QU2UB7QU"],"itemData":{"id":198,"type":"chapter","title":"Issues in transferring and updating travel behavior models","container-title":"New Horizons in Travel-Behaviour Research","publisher":"Lexington Books","publisher-place":"Lexington","page":"665-686","source":"trid.trb.org","event-place":"Lexington","URL":"https://trid.trb.org/view/1153691","author":[{"family":"Ben-Akiva","given":"Moshe"}],"editor":[{"family":"Stopher","given":"Peter R."},{"family":"Meyburg","given":"A.H."},{"family":"Brög","given":"W."}],"issued":{"date-parts":[["1981"]]},"accessed":{"date-parts":[["2018",4,15]]}}},{"id":200,"uris":["http://zotero.org/users/4776332/items/2T6R9DJA"],"uri":["http://zotero.org/users/4776332/items/2T6R9DJA"],"itemData":{"id":200,"type":"chapter","title":"A comment on interspatial, intraspatial, and temporal transferability","container-title":"New Horizons in Travel-Behaviour Research","publisher":"Lexington Books","publisher-place":"Lexington","page":"628-632","event-place":"Lexington","author":[{"family":"Lerman","given":"R"}],"editor":[{"family":"Stopher","given":"Peter R."},{"family":"Meyburg","given":"A.H."},{"family":"Brög","given":"W."}],"issued":{"date-parts":[["1981"]]}}}],"schema":"https://github.com/citation-style-language/schema/raw/master/csl-citation.json"} </w:instrText>
      </w:r>
      <w:r w:rsidR="00E57629">
        <w:fldChar w:fldCharType="separate"/>
      </w:r>
      <w:r w:rsidR="00E57629" w:rsidRPr="00E57629">
        <w:t>(Ben-Akiva 1981; Lerman 1981)</w:t>
      </w:r>
      <w:r w:rsidR="00E57629">
        <w:fldChar w:fldCharType="end"/>
      </w:r>
      <w:r w:rsidR="00C93978">
        <w:t xml:space="preserve"> and </w:t>
      </w:r>
      <w:r w:rsidR="00DB0DB8">
        <w:t>approaches to updating the model</w:t>
      </w:r>
      <w:r w:rsidR="00F04156">
        <w:t xml:space="preserve"> parameters </w:t>
      </w:r>
      <w:r w:rsidR="001B1E4A">
        <w:fldChar w:fldCharType="begin"/>
      </w:r>
      <w:r w:rsidR="001B1E4A">
        <w:instrText xml:space="preserve"> ADDIN ZOTERO_ITEM CSL_CITATION {"citationID":"5R3QI7d7","properties":{"formattedCitation":"(Ben-Akiva and Bolduc 1987; Badoe and Miller 1995)","plainCitation":"(Ben-Akiva and Bolduc 1987; Badoe and Miller 1995)"},"citationItems":[{"id":201,"uris":["http://zotero.org/users/4776332/items/5BFNSUSI"],"uri":["http://zotero.org/users/4776332/items/5BFNSUSI"],"itemData":{"id":201,"type":"article-journal","title":"APPROACHES TO MODEL TRANSFERABILITY AND UPDATING: THE COMBINED TRANSFER ESTIMATOR","container-title":"Transportation Research Record","issue":"1139","source":"trid.trb.org","URL":"https://trid.trb.org/view/289161","ISSN":"0361-1981","shortTitle":"APPROACHES TO MODEL TRANSFERABILITY AND UPDATING","author":[{"family":"Ben-Akiva","given":"Moshe"},{"family":"Bolduc","given":"Denis"}],"issued":{"date-parts":[["1987"]]},"accessed":{"date-parts":[["2018",4,16]]}}},{"id":206,"uris":["http://zotero.org/users/4776332/items/Z9S24I7S"],"uri":["http://zotero.org/users/4776332/items/Z9S24I7S"],"itemData":{"id":206,"type":"article-journal","title":"ANALYSIS OF TEMPORAL TRANSFERABILITY OF DISAGGREGATE WORK TRIP MODE CHOICE MODELS","container-title":"Transportation Research Record","issue":"1493","source":"trid.trb.org","URL":"https://trid.trb.org/view/452588","ISSN":"0361-1981","author":[{"family":"Badoe","given":"Daniel A."},{"family":"Miller","given":"Eric J."}],"issued":{"date-parts":[["1995"]]},"accessed":{"date-parts":[["2018",4,16]]}}}],"schema":"https://github.com/citation-style-language/schema/raw/master/csl-citation.json"} </w:instrText>
      </w:r>
      <w:r w:rsidR="001B1E4A">
        <w:fldChar w:fldCharType="separate"/>
      </w:r>
      <w:r w:rsidR="001B1E4A" w:rsidRPr="001B1E4A">
        <w:t>(Ben-Akiva and Bolduc 1987; Badoe and Miller 1995)</w:t>
      </w:r>
      <w:r w:rsidR="001B1E4A">
        <w:fldChar w:fldCharType="end"/>
      </w:r>
      <w:r w:rsidR="001B1E4A">
        <w:t>.</w:t>
      </w:r>
      <w:r w:rsidR="00DB0DB8">
        <w:t xml:space="preserve"> However, the focus in the literature</w:t>
      </w:r>
      <w:r w:rsidR="00F04156">
        <w:t xml:space="preserve"> has </w:t>
      </w:r>
      <w:r w:rsidR="00DB0DB8">
        <w:t>been on identifying</w:t>
      </w:r>
      <w:r w:rsidR="00F04156">
        <w:t xml:space="preserve"> the statistical methods to transfer models and </w:t>
      </w:r>
      <w:r w:rsidR="00C93978">
        <w:t>testing</w:t>
      </w:r>
      <w:r w:rsidR="00F04156">
        <w:t xml:space="preserve"> the </w:t>
      </w:r>
      <w:r w:rsidR="00B26937">
        <w:t>accuracy of the prediction</w:t>
      </w:r>
      <w:r w:rsidR="00F04156">
        <w:t xml:space="preserve">, rather than </w:t>
      </w:r>
      <w:r w:rsidR="00DB0DB8">
        <w:t xml:space="preserve">understanding the behavioral responses under different contexts. </w:t>
      </w:r>
    </w:p>
    <w:p w14:paraId="6A07C77E" w14:textId="653B3D02" w:rsidR="00F04156" w:rsidRDefault="00B26937" w:rsidP="00C81BD7">
      <w:pPr>
        <w:pStyle w:val="BodyText"/>
      </w:pPr>
      <w:r>
        <w:t xml:space="preserve">For example, </w:t>
      </w:r>
      <w:r w:rsidR="001B1E4A">
        <w:fldChar w:fldCharType="begin"/>
      </w:r>
      <w:r w:rsidR="001B1E4A">
        <w:instrText xml:space="preserve"> ADDIN ZOTERO_ITEM CSL_CITATION {"citationID":"2gz9cgUx","properties":{"formattedCitation":"(Nowrouzian and Srinivasan 2012)","plainCitation":"(Nowrouzian and Srinivasan 2012)"},"citationItems":[{"id":67,"uris":["http://zotero.org/users/4776332/items/EPQ4C9CQ"],"uri":["http://zotero.org/users/4776332/items/EPQ4C9CQ"],"itemData":{"id":67,"type":"article-journal","title":"Empirical Analysis of Spatial Transferability of Tour-Generation Models","container-title":"Transportation Research Record: Journal of the Transportation Research Board","page":"14-22","volume":"2302","source":"CrossRef","DOI":"10.3141/2302-02","ISSN":"0361-1981","language":"en","author":[{"family":"Nowrouzian","given":"Roosbeh"},{"family":"Srinivasan","given":"Sivaramakrishnan"}],"issued":{"date-parts":[["2012",12]]}}}],"schema":"https://github.com/citation-style-language/schema/raw/master/csl-citation.json"} </w:instrText>
      </w:r>
      <w:r w:rsidR="001B1E4A">
        <w:fldChar w:fldCharType="separate"/>
      </w:r>
      <w:r w:rsidR="001B1E4A" w:rsidRPr="001B1E4A">
        <w:t xml:space="preserve">Nowrouzian and Srinivasan </w:t>
      </w:r>
      <w:r w:rsidR="001B1E4A">
        <w:t>(</w:t>
      </w:r>
      <w:r w:rsidR="001B1E4A" w:rsidRPr="001B1E4A">
        <w:t>2012)</w:t>
      </w:r>
      <w:r w:rsidR="001B1E4A">
        <w:fldChar w:fldCharType="end"/>
      </w:r>
      <w:r w:rsidR="00F95FE9">
        <w:t xml:space="preserve"> </w:t>
      </w:r>
      <w:r w:rsidR="0065127B">
        <w:t xml:space="preserve">test spatial transferability of </w:t>
      </w:r>
      <w:r w:rsidR="008D5959">
        <w:t>activity-based</w:t>
      </w:r>
      <w:r w:rsidR="0065127B">
        <w:t xml:space="preserve"> models in Florida </w:t>
      </w:r>
      <w:r w:rsidR="00DB0DB8">
        <w:t xml:space="preserve">and identify </w:t>
      </w:r>
      <w:r w:rsidR="0065127B">
        <w:t>a gap in</w:t>
      </w:r>
      <w:r w:rsidR="00C93978">
        <w:t xml:space="preserve"> the study of transferability in this types of models. They </w:t>
      </w:r>
      <w:r w:rsidR="0065127B">
        <w:t>f</w:t>
      </w:r>
      <w:r w:rsidR="00486CEC">
        <w:t>ound</w:t>
      </w:r>
      <w:r w:rsidR="0065127B">
        <w:t xml:space="preserve"> that transferability </w:t>
      </w:r>
      <w:r w:rsidR="00DB0DB8">
        <w:t xml:space="preserve">is limited </w:t>
      </w:r>
      <w:r w:rsidR="0065127B">
        <w:t xml:space="preserve">and that further research must be done to </w:t>
      </w:r>
      <w:r w:rsidR="00C93978">
        <w:t>identify</w:t>
      </w:r>
      <w:r w:rsidR="00DB0DB8">
        <w:t xml:space="preserve"> the range of </w:t>
      </w:r>
      <w:r w:rsidR="004455C7">
        <w:t xml:space="preserve">contexts </w:t>
      </w:r>
      <w:r w:rsidR="005669E7">
        <w:rPr>
          <w:noProof/>
        </w:rPr>
        <w:t>in</w:t>
      </w:r>
      <w:r w:rsidR="004455C7">
        <w:t xml:space="preserve"> which the model can be applied</w:t>
      </w:r>
      <w:r w:rsidR="0065127B">
        <w:t xml:space="preserve">. </w:t>
      </w:r>
      <w:r w:rsidR="001B1E4A">
        <w:fldChar w:fldCharType="begin"/>
      </w:r>
      <w:r w:rsidR="001B1E4A">
        <w:instrText xml:space="preserve"> ADDIN ZOTERO_ITEM CSL_CITATION {"citationID":"1AIpoth6","properties":{"formattedCitation":"(Karasmaa 2007)","plainCitation":"(Karasmaa 2007)"},"citationItems":[{"id":51,"uris":["http://zotero.org/users/4776332/items/TDIQPMB7"],"uri":["http://zotero.org/users/4776332/items/TDIQPMB7"],"itemData":{"id":51,"type":"article-journal","title":"Evaluation of transfer methods for spatial travel demand models","container-title":"Transportation Research Part A: Policy and Practice","page":"411-427","volume":"41","issue":"5","source":"CrossRef","DOI":"10.1016/j.tra.2006.09.009","ISSN":"09658564","language":"en","author":[{"family":"Karasmaa","given":"Nina"}],"issued":{"date-parts":[["2007",6]]}}}],"schema":"https://github.com/citation-style-language/schema/raw/master/csl-citation.json"} </w:instrText>
      </w:r>
      <w:r w:rsidR="001B1E4A">
        <w:fldChar w:fldCharType="separate"/>
      </w:r>
      <w:r w:rsidR="001B1E4A" w:rsidRPr="001B1E4A">
        <w:t xml:space="preserve">Karasmaa </w:t>
      </w:r>
      <w:r w:rsidR="001B1E4A">
        <w:t>(</w:t>
      </w:r>
      <w:r w:rsidR="001B1E4A" w:rsidRPr="001B1E4A">
        <w:t>2007)</w:t>
      </w:r>
      <w:r w:rsidR="001B1E4A">
        <w:fldChar w:fldCharType="end"/>
      </w:r>
      <w:r w:rsidR="001B1E4A">
        <w:t xml:space="preserve"> </w:t>
      </w:r>
      <w:r w:rsidR="004455C7">
        <w:t xml:space="preserve">tests </w:t>
      </w:r>
      <w:r>
        <w:t>the spatial</w:t>
      </w:r>
      <w:r w:rsidR="004455C7">
        <w:t xml:space="preserve"> transferability of </w:t>
      </w:r>
      <w:r w:rsidR="005669E7">
        <w:t xml:space="preserve">the </w:t>
      </w:r>
      <w:r w:rsidR="004455C7" w:rsidRPr="005669E7">
        <w:rPr>
          <w:noProof/>
        </w:rPr>
        <w:t>simple</w:t>
      </w:r>
      <w:r w:rsidR="004455C7">
        <w:t xml:space="preserve"> four-</w:t>
      </w:r>
      <w:r>
        <w:t xml:space="preserve">step regional model </w:t>
      </w:r>
      <w:r w:rsidR="004455C7">
        <w:t xml:space="preserve">in </w:t>
      </w:r>
      <w:r>
        <w:t xml:space="preserve">two different urban areas in Finland. </w:t>
      </w:r>
      <w:r w:rsidR="00486CEC">
        <w:t>The research</w:t>
      </w:r>
      <w:r>
        <w:t xml:space="preserve"> shows </w:t>
      </w:r>
      <w:r w:rsidR="004455C7">
        <w:t xml:space="preserve">that the models are largely transferable between these locations; however, doubts arise as to </w:t>
      </w:r>
      <w:r>
        <w:t xml:space="preserve">whether this evidence </w:t>
      </w:r>
      <w:r w:rsidR="004455C7">
        <w:t xml:space="preserve">supports </w:t>
      </w:r>
      <w:r>
        <w:t xml:space="preserve">the idea of more universal </w:t>
      </w:r>
      <w:r w:rsidR="004455C7">
        <w:t xml:space="preserve">model </w:t>
      </w:r>
      <w:r>
        <w:t xml:space="preserve">transferability or </w:t>
      </w:r>
      <w:r w:rsidR="004455C7">
        <w:t xml:space="preserve">is limited to similar </w:t>
      </w:r>
      <w:r>
        <w:t>urban structures</w:t>
      </w:r>
      <w:r w:rsidR="00486CEC">
        <w:t xml:space="preserve"> and </w:t>
      </w:r>
      <w:r w:rsidR="004455C7">
        <w:t>cultural contexts.</w:t>
      </w:r>
      <w:r>
        <w:t xml:space="preserve"> </w:t>
      </w:r>
      <w:r w:rsidR="0065127B">
        <w:t>Another limitation</w:t>
      </w:r>
      <w:r w:rsidR="00C93978">
        <w:t xml:space="preserve"> in the transferability literature</w:t>
      </w:r>
      <w:r w:rsidR="004455C7">
        <w:t xml:space="preserve"> is that regional models focus more o</w:t>
      </w:r>
      <w:r w:rsidR="0065127B">
        <w:t xml:space="preserve">n motorized vehicles than walking and biking (see </w:t>
      </w:r>
      <w:r w:rsidR="001B1E4A">
        <w:fldChar w:fldCharType="begin"/>
      </w:r>
      <w:r w:rsidR="001B1E4A">
        <w:instrText xml:space="preserve"> ADDIN ZOTERO_ITEM CSL_CITATION {"citationID":"Sfsh2cD7","properties":{"formattedCitation":"(Singleton et al. 2018)","plainCitation":"(Singleton et al. 2018)"},"citationItems":[{"id":194,"uris":["http://zotero.org/users/4776332/items/B3AKPDI9"],"uri":["http://zotero.org/users/4776332/items/B3AKPDI9"],"itemData":{"id":194,"type":"article-journal","title":"Making Strides: State-of-the-Practice of Pedestrian Forecasting in Regional Travel Models","container-title":"Transportation Research Record: Journal of the Transportation Research Board","abstract":"Much has changed in the 30 years since non-motorized modes were first included in regional travel demand models. As interest in understanding behavioral influences on walking and policies requiring estimates of walking activity increase, it is important to consider how pedestrian travel is modeled at a regional level. This paper evaluates the state-of-the-practice of modeling walk trips among the largest 48 metropolitan planning organizations (MPOs) and assesses changes made over the last five years. By reviewing model documentation and responses to a survey of MPO modelers, this paper summarizes current practices, describes six pedestrian modeling frameworks, and identifies trends. Three-quarters (75%) of large MPOs now model non-motorized travel, and over two-thirds (69%) of those MPOs distinguish walking from bicycling; these percentages are up from nearly two-thirds (63%) and one-half (47%), respectively, in 2012. This change corresponds with an increase in the deployment of activity-based models, which offer the opportunity to enhance pedestrian modeling techniques. The biggest barrier to more sophisticated models remains a lack of travel survey data on walking behavior, yet some MPOs are starting to overcome this challenge by oversampling potential active travelers. Decision-makers are becoming more interested in analyzing walking and using estimates of walking activity that are output from models for various planning applications. As the practice continues to mature, the near future will likely see smaller scale measures of the pedestrian environment, more detailed zonal and network structures, and possibly even an operational model of pedestrian route choice.","author":[{"family":"Singleton","given":"Patrick A."},{"family":"Totten","given":"Joseph C."},{"family":"Orrego-Oñate","given":"Jaime P."},{"family":"Schneider","given":"Robert J."},{"family":"Clifton","given":"Kelly J."}],"issued":{"date-parts":[["2018"]],"season":"forthcoming in"}}}],"schema":"https://github.com/citation-style-language/schema/raw/master/csl-citation.json"} </w:instrText>
      </w:r>
      <w:r w:rsidR="001B1E4A">
        <w:fldChar w:fldCharType="separate"/>
      </w:r>
      <w:r w:rsidR="001B1E4A" w:rsidRPr="001B1E4A">
        <w:t>Singleton et al. 2018</w:t>
      </w:r>
      <w:r w:rsidR="001B1E4A">
        <w:fldChar w:fldCharType="end"/>
      </w:r>
      <w:r w:rsidR="0065127B">
        <w:t>)</w:t>
      </w:r>
      <w:r w:rsidR="004455C7">
        <w:t xml:space="preserve"> and thus a specific examination of the transferability of relationships between the built environment and walking behavior is lacking</w:t>
      </w:r>
      <w:r w:rsidR="00486CEC">
        <w:t xml:space="preserve">. </w:t>
      </w:r>
      <w:r w:rsidR="004455C7">
        <w:t>Thu</w:t>
      </w:r>
      <w:r w:rsidR="00C93978">
        <w:t>s</w:t>
      </w:r>
      <w:r w:rsidR="004455C7">
        <w:t>, this</w:t>
      </w:r>
      <w:r w:rsidR="00C93978">
        <w:t xml:space="preserve"> project </w:t>
      </w:r>
      <w:r w:rsidR="004455C7">
        <w:t xml:space="preserve">will try to fill this gap to test if </w:t>
      </w:r>
      <w:r w:rsidR="00C93978">
        <w:t xml:space="preserve">there </w:t>
      </w:r>
      <w:r w:rsidR="00772856">
        <w:t>are</w:t>
      </w:r>
      <w:r w:rsidR="00C93978">
        <w:t xml:space="preserve"> </w:t>
      </w:r>
      <w:r w:rsidR="00486CEC">
        <w:t>systematic</w:t>
      </w:r>
      <w:r w:rsidR="0065127B">
        <w:t xml:space="preserve"> behavioral response</w:t>
      </w:r>
      <w:r w:rsidR="004455C7">
        <w:t>s</w:t>
      </w:r>
      <w:r w:rsidR="000D064A">
        <w:t xml:space="preserve"> </w:t>
      </w:r>
      <w:r w:rsidR="005669E7">
        <w:t>a</w:t>
      </w:r>
      <w:r w:rsidR="000D064A" w:rsidRPr="005669E7">
        <w:rPr>
          <w:noProof/>
        </w:rPr>
        <w:t>cross</w:t>
      </w:r>
      <w:r w:rsidR="0065127B">
        <w:t xml:space="preserve"> </w:t>
      </w:r>
      <w:r w:rsidR="004455C7">
        <w:t xml:space="preserve">and within </w:t>
      </w:r>
      <w:r w:rsidR="0065127B">
        <w:t>different cities</w:t>
      </w:r>
      <w:r w:rsidR="004455C7">
        <w:t>.</w:t>
      </w:r>
    </w:p>
    <w:p w14:paraId="774A1B35" w14:textId="0D36BD8A" w:rsidR="009B651A" w:rsidRDefault="00EF2C69" w:rsidP="00D1654A">
      <w:pPr>
        <w:pStyle w:val="Heading1"/>
      </w:pPr>
      <w:bookmarkStart w:id="9" w:name="_Toc2003599"/>
      <w:r>
        <w:t>PEdestrian Index of the Environment (PIE)</w:t>
      </w:r>
      <w:bookmarkEnd w:id="9"/>
    </w:p>
    <w:p w14:paraId="35AA288A" w14:textId="77777777" w:rsidR="00383C32" w:rsidRDefault="000D064A" w:rsidP="00383C32">
      <w:pPr>
        <w:pStyle w:val="BodyText"/>
      </w:pPr>
      <w:r>
        <w:t xml:space="preserve">This study builds on our previous work by examining and improving upon the Pedestrian Index of the Environment (PIE), developed and described in the project reports </w:t>
      </w:r>
      <w:r w:rsidR="001B1E4A">
        <w:fldChar w:fldCharType="begin"/>
      </w:r>
      <w:r w:rsidR="001B1E4A">
        <w:instrText xml:space="preserve"> ADDIN ZOTERO_ITEM CSL_CITATION {"citationID":"6kZLRrHF","properties":{"formattedCitation":"(K. Clifton et al. 2013, 2015)","plainCitation":"(K. Clifton et al. 2013, 2015)"},"citationItems":[{"id":187,"uris":["http://zotero.org/users/4776332/items/UQH8THQ6"],"uri":["http://zotero.org/users/4776332/items/UQH8THQ6"],"itemData":{"id":187,"type":"article-journal","title":"Improving the Representation of the Pedestrian Environment in Travel Demand Models, Phase I","container-title":"Civil and Environmental Engineering Faculty Publications and Presentations","URL":"https://pdxscholar.library.pdx.edu/cengin_fac/189","DOI":"10.15760/trec.120","author":[{"family":"Clifton","given":"Kelly"},{"family":"Singleton","given":"Patrick"},{"family":"Muhs","given":"Christopher"},{"family":"Schneider","given":"Robert"},{"family":"Lagerwey","given":"Peter"}],"issued":{"date-parts":[["2013",9,1]]}}},{"id":185,"uris":["http://zotero.org/users/4776332/items/GV4MCR38"],"uri":["http://zotero.org/users/4776332/items/GV4MCR38"],"itemData":{"id":185,"type":"article-journal","title":"Development of a Pedestrian Demand Estimation Tool","container-title":"Civil and Environmental Engineering Faculty Publications and Presentations","URL":"https://pdxscholar.library.pdx.edu/cengin_fac/318","DOI":"10.15760/trec.124","author":[{"family":"Clifton","given":"Kelly"},{"family":"Singleton","given":"Patrick"},{"family":"Muhs","given":"Christopher"},{"family":"Schneider","given":"Robert"}],"issued":{"date-parts":[["2015",9,1]]}}}],"schema":"https://github.com/citation-style-language/schema/raw/master/csl-citation.json"} </w:instrText>
      </w:r>
      <w:r w:rsidR="001B1E4A">
        <w:fldChar w:fldCharType="separate"/>
      </w:r>
      <w:r w:rsidR="001B1E4A" w:rsidRPr="001B1E4A">
        <w:t>(Clifton et al. 2013, 2015)</w:t>
      </w:r>
      <w:r w:rsidR="001B1E4A">
        <w:fldChar w:fldCharType="end"/>
      </w:r>
      <w:r>
        <w:t>. In order to understand this study, it is important to give a brief overview of our original concept of PIE, referred to as PIE</w:t>
      </w:r>
      <w:r w:rsidRPr="000D064A">
        <w:rPr>
          <w:vertAlign w:val="subscript"/>
        </w:rPr>
        <w:t>0</w:t>
      </w:r>
      <w:r>
        <w:t xml:space="preserve"> in this report. </w:t>
      </w:r>
      <w:r w:rsidR="00771236">
        <w:t>PIE</w:t>
      </w:r>
      <w:r w:rsidR="00771236" w:rsidRPr="00636729">
        <w:rPr>
          <w:vertAlign w:val="subscript"/>
        </w:rPr>
        <w:t>0</w:t>
      </w:r>
      <w:r w:rsidR="00771236" w:rsidRPr="00997893">
        <w:t xml:space="preserve"> </w:t>
      </w:r>
      <w:r w:rsidR="00383C32">
        <w:t>i</w:t>
      </w:r>
      <w:r w:rsidR="00771236" w:rsidRPr="00997893">
        <w:t xml:space="preserve">s </w:t>
      </w:r>
      <w:r w:rsidR="00771236">
        <w:t>an index</w:t>
      </w:r>
      <w:r w:rsidR="00771236" w:rsidRPr="00997893">
        <w:t xml:space="preserve"> </w:t>
      </w:r>
      <w:r w:rsidR="00AF41CA">
        <w:t>comprising</w:t>
      </w:r>
      <w:r w:rsidR="00771236">
        <w:t xml:space="preserve"> six built environment measures, </w:t>
      </w:r>
      <w:r w:rsidR="00383C32">
        <w:t xml:space="preserve">listed below, and was computed for each PAZ in the system (N= </w:t>
      </w:r>
      <w:r w:rsidR="00383C32" w:rsidRPr="00383C32">
        <w:t>1,465,252</w:t>
      </w:r>
      <w:r w:rsidR="00383C32">
        <w:t xml:space="preserve"> in the four-county metro area of Portland, OR). </w:t>
      </w:r>
    </w:p>
    <w:p w14:paraId="00A1B08B" w14:textId="68B9A98B" w:rsidR="00AF41CA" w:rsidRDefault="00771236" w:rsidP="00383C32">
      <w:pPr>
        <w:pStyle w:val="BodyText"/>
        <w:numPr>
          <w:ilvl w:val="0"/>
          <w:numId w:val="44"/>
        </w:numPr>
      </w:pPr>
      <w:r>
        <w:lastRenderedPageBreak/>
        <w:t>comfortable</w:t>
      </w:r>
      <w:r w:rsidR="00AF41CA">
        <w:t xml:space="preserve"> cycling</w:t>
      </w:r>
      <w:r>
        <w:t xml:space="preserve"> facilities</w:t>
      </w:r>
      <w:r w:rsidR="00534AED">
        <w:t>;</w:t>
      </w:r>
      <w:r w:rsidR="00AF41CA">
        <w:t xml:space="preserve"> a proxy for low volume streets with traffic calming (</w:t>
      </w:r>
      <w:r>
        <w:t xml:space="preserve">local density of weighted bicycle network links in </w:t>
      </w:r>
      <w:r w:rsidRPr="000D0D60">
        <w:rPr>
          <w:noProof/>
        </w:rPr>
        <w:t>a</w:t>
      </w:r>
      <w:r w:rsidR="00AF41CA" w:rsidRPr="000D0D60">
        <w:rPr>
          <w:noProof/>
        </w:rPr>
        <w:t xml:space="preserve"> one-mile</w:t>
      </w:r>
      <w:r>
        <w:t xml:space="preserve"> buffer </w:t>
      </w:r>
      <w:r w:rsidR="00383C32">
        <w:t xml:space="preserve">of each PAZ </w:t>
      </w:r>
      <w:r>
        <w:t>(1.6 km)</w:t>
      </w:r>
      <w:r w:rsidR="00AF41CA">
        <w:t>)</w:t>
      </w:r>
      <w:r>
        <w:t xml:space="preserve">; </w:t>
      </w:r>
    </w:p>
    <w:p w14:paraId="217C093F" w14:textId="587C112C" w:rsidR="00534AED" w:rsidRDefault="00771236" w:rsidP="00AF41CA">
      <w:pPr>
        <w:pStyle w:val="BodyText"/>
        <w:numPr>
          <w:ilvl w:val="0"/>
          <w:numId w:val="44"/>
        </w:numPr>
      </w:pPr>
      <w:r>
        <w:t>block size</w:t>
      </w:r>
      <w:r w:rsidR="00AF41CA">
        <w:t xml:space="preserve"> (average </w:t>
      </w:r>
      <w:r>
        <w:t>block size in a quarter</w:t>
      </w:r>
      <w:r w:rsidR="00AF41CA">
        <w:t>-</w:t>
      </w:r>
      <w:r>
        <w:t>mile (0.4 km)</w:t>
      </w:r>
      <w:r w:rsidR="00AF41CA">
        <w:t xml:space="preserve"> buffer</w:t>
      </w:r>
      <w:r w:rsidR="00383C32">
        <w:t xml:space="preserve"> of each PAZ</w:t>
      </w:r>
      <w:r w:rsidR="00AF41CA">
        <w:t>)</w:t>
      </w:r>
      <w:r>
        <w:t xml:space="preserve">; </w:t>
      </w:r>
    </w:p>
    <w:p w14:paraId="0EE68DFF" w14:textId="76744B6C" w:rsidR="00AF41CA" w:rsidRDefault="00AF41CA" w:rsidP="00AF41CA">
      <w:pPr>
        <w:pStyle w:val="BodyText"/>
        <w:numPr>
          <w:ilvl w:val="0"/>
          <w:numId w:val="44"/>
        </w:numPr>
      </w:pPr>
      <w:r>
        <w:t>p</w:t>
      </w:r>
      <w:r w:rsidR="00771236">
        <w:t>eople per acre</w:t>
      </w:r>
      <w:r>
        <w:t xml:space="preserve"> (</w:t>
      </w:r>
      <w:r w:rsidR="00771236">
        <w:t>population plus employment density in a quarter</w:t>
      </w:r>
      <w:r>
        <w:t>-</w:t>
      </w:r>
      <w:r w:rsidR="00771236">
        <w:t>mile (0.4 km)</w:t>
      </w:r>
      <w:r>
        <w:t xml:space="preserve"> buffer</w:t>
      </w:r>
      <w:r w:rsidR="00383C32">
        <w:t xml:space="preserve"> of each PAZ</w:t>
      </w:r>
      <w:r>
        <w:t>)</w:t>
      </w:r>
      <w:r w:rsidR="00771236">
        <w:t xml:space="preserve">; </w:t>
      </w:r>
    </w:p>
    <w:p w14:paraId="41147623" w14:textId="3E7B1EA7" w:rsidR="00AF41CA" w:rsidRDefault="00771236" w:rsidP="00AF41CA">
      <w:pPr>
        <w:pStyle w:val="BodyText"/>
        <w:numPr>
          <w:ilvl w:val="0"/>
          <w:numId w:val="44"/>
        </w:numPr>
      </w:pPr>
      <w:r>
        <w:t>sidewalk density</w:t>
      </w:r>
      <w:r w:rsidR="00AF41CA">
        <w:t xml:space="preserve"> (</w:t>
      </w:r>
      <w:r>
        <w:t>total length of metro sidewalk inventory within a quarter</w:t>
      </w:r>
      <w:r w:rsidR="00AF41CA">
        <w:t>-</w:t>
      </w:r>
      <w:r>
        <w:t>mile buffer</w:t>
      </w:r>
      <w:r w:rsidR="00383C32">
        <w:t xml:space="preserve"> of each PAZ</w:t>
      </w:r>
      <w:r w:rsidR="00AF41CA">
        <w:t>)</w:t>
      </w:r>
      <w:r>
        <w:t>;</w:t>
      </w:r>
    </w:p>
    <w:p w14:paraId="3089FA40" w14:textId="6DBAE109" w:rsidR="00AF41CA" w:rsidRDefault="00771236" w:rsidP="00AF41CA">
      <w:pPr>
        <w:pStyle w:val="BodyText"/>
        <w:numPr>
          <w:ilvl w:val="0"/>
          <w:numId w:val="44"/>
        </w:numPr>
      </w:pPr>
      <w:r>
        <w:t>transit access</w:t>
      </w:r>
      <w:r w:rsidR="00AF41CA">
        <w:t xml:space="preserve"> (</w:t>
      </w:r>
      <w:r>
        <w:t xml:space="preserve">a density measure of transit </w:t>
      </w:r>
      <w:r w:rsidR="00AF41CA">
        <w:t>stops</w:t>
      </w:r>
      <w:r>
        <w:t xml:space="preserve"> weighted by the service frequency in a quarter</w:t>
      </w:r>
      <w:r w:rsidR="00AF41CA">
        <w:t>-</w:t>
      </w:r>
      <w:r>
        <w:t>mile</w:t>
      </w:r>
      <w:r w:rsidR="00AF41CA">
        <w:t xml:space="preserve"> buffer)</w:t>
      </w:r>
      <w:r>
        <w:t xml:space="preserve">; and </w:t>
      </w:r>
    </w:p>
    <w:p w14:paraId="66C94B19" w14:textId="1EE8A46D" w:rsidR="00D1058B" w:rsidRDefault="00771236" w:rsidP="00AF41CA">
      <w:pPr>
        <w:pStyle w:val="BodyText"/>
        <w:numPr>
          <w:ilvl w:val="0"/>
          <w:numId w:val="44"/>
        </w:numPr>
      </w:pPr>
      <w:r>
        <w:t>urban living infrastructure (ULI)</w:t>
      </w:r>
      <w:r w:rsidR="00AF41CA">
        <w:t xml:space="preserve"> (</w:t>
      </w:r>
      <w:r>
        <w:t xml:space="preserve">the </w:t>
      </w:r>
      <w:r w:rsidR="005669E7">
        <w:rPr>
          <w:noProof/>
        </w:rPr>
        <w:t>number</w:t>
      </w:r>
      <w:r>
        <w:t xml:space="preserve"> of services, entertainment, and retail services in a quarter-mile buffer</w:t>
      </w:r>
      <w:r w:rsidR="007A7D62">
        <w:t xml:space="preserve"> of the origin PAZ</w:t>
      </w:r>
      <w:r w:rsidR="00AF41CA">
        <w:t>)</w:t>
      </w:r>
      <w:r w:rsidRPr="009B651A">
        <w:t>.</w:t>
      </w:r>
      <w:r>
        <w:t xml:space="preserve"> </w:t>
      </w:r>
    </w:p>
    <w:p w14:paraId="4F61ED71" w14:textId="045A3071" w:rsidR="00383C32" w:rsidRDefault="00383C32" w:rsidP="00AF41CA">
      <w:pPr>
        <w:pStyle w:val="BodyText"/>
      </w:pPr>
      <w:r w:rsidRPr="00383C32">
        <w:t xml:space="preserve">In the calculation of the index, each of the built environment measures is weighted based upon their relative importance to walking behavior (see Clifton et al., 2013 for more information). </w:t>
      </w:r>
      <w:r>
        <w:t>To calculate these weights, we used the standardized coefficients from a univariate model that predicts the likelihood of walking as a function of each of the six built environment measures</w:t>
      </w:r>
      <w:r w:rsidR="003C09CB">
        <w:t xml:space="preserve"> for the PAZ of the trip origin</w:t>
      </w:r>
      <w:r>
        <w:t xml:space="preserve">. </w:t>
      </w:r>
    </w:p>
    <w:p w14:paraId="60598D34" w14:textId="4633E195" w:rsidR="00771236" w:rsidRPr="00997893" w:rsidRDefault="00771236" w:rsidP="00AF41CA">
      <w:pPr>
        <w:pStyle w:val="BodyText"/>
      </w:pPr>
      <w:r w:rsidRPr="00997893">
        <w:t xml:space="preserve">For each built environment </w:t>
      </w:r>
      <w:r w:rsidR="00866B93" w:rsidRPr="00997893">
        <w:t>attribute</w:t>
      </w:r>
      <m:oMath>
        <m:r>
          <w:rPr>
            <w:rFonts w:ascii="Cambria Math" w:hAnsi="Cambria Math"/>
          </w:rPr>
          <m:t xml:space="preserve"> j</m:t>
        </m:r>
      </m:oMath>
      <w:r>
        <w:t>,</w:t>
      </w:r>
      <w:r w:rsidRPr="00997893">
        <w:t xml:space="preserve"> a </w:t>
      </w:r>
      <w:r w:rsidR="00866B93">
        <w:t xml:space="preserve">univariate </w:t>
      </w:r>
      <w:r w:rsidR="00546407">
        <w:t xml:space="preserve">(walk/don't walk), </w:t>
      </w:r>
      <w:r w:rsidRPr="00997893">
        <w:t>binary</w:t>
      </w:r>
      <w:r w:rsidR="00546407">
        <w:t>-</w:t>
      </w:r>
      <w:r w:rsidRPr="00997893">
        <w:t xml:space="preserve">logit </w:t>
      </w:r>
      <w:r>
        <w:t xml:space="preserve">mode choice </w:t>
      </w:r>
      <w:r w:rsidRPr="00997893">
        <w:t xml:space="preserve">model </w:t>
      </w:r>
      <m:oMath>
        <m:sSub>
          <m:sSubPr>
            <m:ctrlPr>
              <w:rPr>
                <w:rFonts w:ascii="Cambria Math" w:hAnsi="Cambria Math"/>
                <w:i/>
              </w:rPr>
            </m:ctrlPr>
          </m:sSubPr>
          <m:e>
            <m:r>
              <w:rPr>
                <w:rFonts w:ascii="Cambria Math" w:hAnsi="Cambria Math"/>
              </w:rPr>
              <m:t>P</m:t>
            </m:r>
          </m:e>
          <m:sub>
            <m:r>
              <w:rPr>
                <w:rFonts w:ascii="Cambria Math" w:hAnsi="Cambria Math"/>
              </w:rPr>
              <m:t>j</m:t>
            </m:r>
          </m:sub>
        </m:sSub>
      </m:oMath>
      <w:r w:rsidRPr="00997893">
        <w:t xml:space="preserve"> is estimated </w:t>
      </w:r>
      <w:r>
        <w:t xml:space="preserve">to predict walking/other mode </w:t>
      </w:r>
      <w:r w:rsidRPr="00997893">
        <w:t xml:space="preserve">using as an explanatory variable the attribute score </w:t>
      </w:r>
      <m:oMath>
        <m:sSub>
          <m:sSubPr>
            <m:ctrlPr>
              <w:rPr>
                <w:rFonts w:ascii="Cambria Math" w:hAnsi="Cambria Math"/>
                <w:i/>
              </w:rPr>
            </m:ctrlPr>
          </m:sSubPr>
          <m:e>
            <m:r>
              <w:rPr>
                <w:rFonts w:ascii="Cambria Math" w:hAnsi="Cambria Math"/>
              </w:rPr>
              <m:t>z</m:t>
            </m:r>
          </m:e>
          <m:sub>
            <m:r>
              <w:rPr>
                <w:rFonts w:ascii="Cambria Math" w:hAnsi="Cambria Math"/>
              </w:rPr>
              <m:t>j</m:t>
            </m:r>
          </m:sub>
        </m:sSub>
      </m:oMath>
      <w:r w:rsidRPr="00997893">
        <w:t xml:space="preserve"> . Each model calibration delivers a utility function:</w:t>
      </w:r>
    </w:p>
    <w:p w14:paraId="668AE3A6" w14:textId="77777777" w:rsidR="00771236" w:rsidRDefault="00983295" w:rsidP="00771236">
      <w:pPr>
        <w:pStyle w:val="BodyText"/>
      </w:pPr>
      <m:oMathPara>
        <m:oMath>
          <m:sSub>
            <m:sSubPr>
              <m:ctrlPr>
                <w:rPr>
                  <w:rFonts w:ascii="Cambria Math" w:hAnsi="Cambria Math"/>
                </w:rPr>
              </m:ctrlPr>
            </m:sSubPr>
            <m:e>
              <m:r>
                <w:rPr>
                  <w:rFonts w:ascii="Cambria Math" w:hAnsi="Cambria Math"/>
                </w:rPr>
                <m:t>U</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0</m:t>
              </m:r>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β</m:t>
              </m:r>
            </m:e>
            <m:sub>
              <m:r>
                <m:rPr>
                  <m:sty m:val="p"/>
                </m:rPr>
                <w:rPr>
                  <w:rFonts w:ascii="Cambria Math" w:hAnsi="Cambria Math"/>
                </w:rPr>
                <m:t>1</m:t>
              </m:r>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j</m:t>
              </m:r>
            </m:sub>
          </m:sSub>
        </m:oMath>
      </m:oMathPara>
    </w:p>
    <w:p w14:paraId="794C3663" w14:textId="67E91F47" w:rsidR="00771236" w:rsidRPr="00C57416" w:rsidRDefault="00771236" w:rsidP="00771236">
      <w:pPr>
        <w:pStyle w:val="BodyText"/>
      </w:pPr>
      <w:r>
        <w:t>After this, PIE</w:t>
      </w:r>
      <w:r w:rsidRPr="00601568">
        <w:rPr>
          <w:vertAlign w:val="subscript"/>
        </w:rPr>
        <w:t>0</w:t>
      </w:r>
      <w:r>
        <w:t xml:space="preserve"> was constructed </w:t>
      </w:r>
      <w:r w:rsidR="00546407">
        <w:t>by weighting each built environment variable by</w:t>
      </w:r>
      <w:r>
        <w:t xml:space="preserve"> the</w:t>
      </w:r>
      <w:r w:rsidR="00546407">
        <w:t xml:space="preserve"> corresponding</w:t>
      </w:r>
      <w:r>
        <w:t xml:space="preserve"> </w:t>
      </w:r>
      <w:r w:rsidR="00546407">
        <w:t xml:space="preserve">estimated </w:t>
      </w:r>
      <w:r>
        <w:t>coefficient</w:t>
      </w:r>
      <w:r w:rsidR="00546407">
        <w:t xml:space="preserve"> </w:t>
      </w:r>
      <m:oMath>
        <m:sSub>
          <m:sSubPr>
            <m:ctrlPr>
              <w:rPr>
                <w:rFonts w:ascii="Cambria Math" w:hAnsi="Cambria Math"/>
              </w:rPr>
            </m:ctrlPr>
          </m:sSubPr>
          <m:e>
            <m:r>
              <w:rPr>
                <w:rFonts w:ascii="Cambria Math" w:hAnsi="Cambria Math"/>
              </w:rPr>
              <m:t>β</m:t>
            </m:r>
          </m:e>
          <m:sub>
            <m:r>
              <m:rPr>
                <m:sty m:val="p"/>
              </m:rPr>
              <w:rPr>
                <w:rFonts w:ascii="Cambria Math" w:hAnsi="Cambria Math"/>
              </w:rPr>
              <m:t>1</m:t>
            </m:r>
            <m:r>
              <w:rPr>
                <w:rFonts w:ascii="Cambria Math" w:hAnsi="Cambria Math"/>
              </w:rPr>
              <m:t>j</m:t>
            </m:r>
          </m:sub>
        </m:sSub>
      </m:oMath>
      <w:r>
        <w:t xml:space="preserve"> </w:t>
      </w:r>
      <w:r w:rsidR="00546407">
        <w:t xml:space="preserve"> and summing the values over a specific spatial unit</w:t>
      </w:r>
      <w:r w:rsidR="002611D1">
        <w:t>.</w:t>
      </w:r>
    </w:p>
    <w:p w14:paraId="7BCF610F" w14:textId="3A6C1240" w:rsidR="00771236" w:rsidRDefault="00771236" w:rsidP="00771236">
      <w:pPr>
        <w:pStyle w:val="BodyText"/>
      </w:pPr>
      <w:r>
        <w:t xml:space="preserve"> </w:t>
      </w:r>
      <m:oMath>
        <m:r>
          <m:rPr>
            <m:sty m:val="p"/>
          </m:rPr>
          <w:rPr>
            <w:rFonts w:ascii="Cambria Math" w:hAnsi="Cambria Math"/>
          </w:rPr>
          <w:br/>
        </m:r>
      </m:oMath>
      <m:oMathPara>
        <m:oMath>
          <m:sSub>
            <m:sSubPr>
              <m:ctrlPr>
                <w:rPr>
                  <w:rFonts w:ascii="Cambria Math" w:hAnsi="Cambria Math"/>
                </w:rPr>
              </m:ctrlPr>
            </m:sSubPr>
            <m:e>
              <m:r>
                <w:rPr>
                  <w:rFonts w:ascii="Cambria Math" w:hAnsi="Cambria Math"/>
                </w:rPr>
                <m:t>PIE</m:t>
              </m:r>
            </m:e>
            <m:sub>
              <m:r>
                <w:rPr>
                  <w:rFonts w:ascii="Cambria Math" w:hAnsi="Cambria Math"/>
                </w:rPr>
                <m:t>0</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j</m:t>
              </m:r>
            </m:sub>
            <m:sup/>
            <m:e>
              <m:sSub>
                <m:sSubPr>
                  <m:ctrlPr>
                    <w:rPr>
                      <w:rFonts w:ascii="Cambria Math" w:hAnsi="Cambria Math"/>
                    </w:rPr>
                  </m:ctrlPr>
                </m:sSubPr>
                <m:e>
                  <m:r>
                    <w:rPr>
                      <w:rFonts w:ascii="Cambria Math" w:hAnsi="Cambria Math"/>
                    </w:rPr>
                    <m:t>β</m:t>
                  </m:r>
                </m:e>
                <m:sub>
                  <m:r>
                    <m:rPr>
                      <m:sty m:val="p"/>
                    </m:rPr>
                    <w:rPr>
                      <w:rFonts w:ascii="Cambria Math" w:hAnsi="Cambria Math"/>
                    </w:rPr>
                    <m:t>1</m:t>
                  </m:r>
                  <m:r>
                    <w:rPr>
                      <w:rFonts w:ascii="Cambria Math" w:hAnsi="Cambria Math"/>
                    </w:rPr>
                    <m:t>j</m:t>
                  </m:r>
                </m:sub>
              </m:sSub>
              <m:sSub>
                <m:sSubPr>
                  <m:ctrlPr>
                    <w:rPr>
                      <w:rFonts w:ascii="Cambria Math" w:hAnsi="Cambria Math"/>
                    </w:rPr>
                  </m:ctrlPr>
                </m:sSubPr>
                <m:e>
                  <m:r>
                    <w:rPr>
                      <w:rFonts w:ascii="Cambria Math" w:hAnsi="Cambria Math"/>
                    </w:rPr>
                    <m:t>z</m:t>
                  </m:r>
                </m:e>
                <m:sub>
                  <m:r>
                    <w:rPr>
                      <w:rFonts w:ascii="Cambria Math" w:hAnsi="Cambria Math"/>
                    </w:rPr>
                    <m:t>j</m:t>
                  </m:r>
                </m:sub>
              </m:sSub>
            </m:e>
          </m:nary>
        </m:oMath>
      </m:oMathPara>
    </w:p>
    <w:p w14:paraId="622AB298" w14:textId="5A3BDFA4" w:rsidR="00866B93" w:rsidRPr="00866B93" w:rsidRDefault="00771236" w:rsidP="00771236">
      <w:pPr>
        <w:pStyle w:val="BodyText"/>
      </w:pPr>
      <w:r w:rsidRPr="00866B93">
        <w:t xml:space="preserve">The dataset </w:t>
      </w:r>
      <w:r w:rsidR="00546407">
        <w:t xml:space="preserve">used </w:t>
      </w:r>
      <w:r w:rsidRPr="00866B93">
        <w:t xml:space="preserve">to </w:t>
      </w:r>
      <w:r w:rsidR="00EF2C69">
        <w:t xml:space="preserve">provide </w:t>
      </w:r>
      <w:r w:rsidRPr="00866B93">
        <w:t xml:space="preserve">the </w:t>
      </w:r>
      <w:r w:rsidR="00985B92">
        <w:t xml:space="preserve">built environment characteristics used in </w:t>
      </w:r>
      <w:r w:rsidRPr="00866B93">
        <w:t>PIE</w:t>
      </w:r>
      <w:r w:rsidRPr="00866B93">
        <w:rPr>
          <w:vertAlign w:val="subscript"/>
        </w:rPr>
        <w:t>0</w:t>
      </w:r>
      <w:r w:rsidRPr="00866B93">
        <w:t xml:space="preserve"> </w:t>
      </w:r>
      <w:r w:rsidR="002611D1">
        <w:t>is</w:t>
      </w:r>
      <w:r w:rsidRPr="00866B93">
        <w:t xml:space="preserve"> the </w:t>
      </w:r>
      <w:r w:rsidR="002611D1">
        <w:t>C</w:t>
      </w:r>
      <w:r w:rsidRPr="00866B93">
        <w:t xml:space="preserve">ontext </w:t>
      </w:r>
      <w:r w:rsidR="002611D1">
        <w:t>T</w:t>
      </w:r>
      <w:r w:rsidRPr="00866B93">
        <w:t>ool</w:t>
      </w:r>
      <w:r w:rsidR="002611D1">
        <w:t>, developed by</w:t>
      </w:r>
      <w:r w:rsidRPr="00866B93">
        <w:t xml:space="preserve"> Portland Metro. This dataset calculates the built environment characteristics within 80</w:t>
      </w:r>
      <w:r w:rsidR="002611D1">
        <w:t>-meter</w:t>
      </w:r>
      <w:r w:rsidRPr="00866B93">
        <w:t xml:space="preserve"> by 80-meter grid cells (called Pedestrian Analysis Zones, or PAZs) </w:t>
      </w:r>
      <w:r w:rsidR="002611D1">
        <w:t xml:space="preserve">and associates each raw measure </w:t>
      </w:r>
      <w:r w:rsidRPr="00866B93">
        <w:t xml:space="preserve">with discrete values between 1 and 5. </w:t>
      </w:r>
      <w:r w:rsidR="00866B93" w:rsidRPr="00866B93">
        <w:t>Th</w:t>
      </w:r>
      <w:r w:rsidR="002611D1">
        <w:t>e</w:t>
      </w:r>
      <w:r w:rsidR="00866B93" w:rsidRPr="00866B93">
        <w:t>s</w:t>
      </w:r>
      <w:r w:rsidR="002611D1">
        <w:t>e</w:t>
      </w:r>
      <w:r w:rsidR="00866B93" w:rsidRPr="00866B93">
        <w:t xml:space="preserve"> </w:t>
      </w:r>
      <w:r w:rsidR="002611D1">
        <w:t xml:space="preserve">discrete </w:t>
      </w:r>
      <w:r w:rsidR="00866B93" w:rsidRPr="00866B93">
        <w:t xml:space="preserve">values were assigned using natural breaks </w:t>
      </w:r>
      <w:r w:rsidR="002611D1">
        <w:t>in</w:t>
      </w:r>
      <w:r w:rsidR="00866B93" w:rsidRPr="00866B93">
        <w:t xml:space="preserve"> the d</w:t>
      </w:r>
      <w:r w:rsidR="002611D1">
        <w:t>istribution of each measure</w:t>
      </w:r>
      <w:r w:rsidR="00866B93" w:rsidRPr="00866B93">
        <w:t xml:space="preserve">. </w:t>
      </w:r>
      <w:r w:rsidRPr="00866B93">
        <w:t xml:space="preserve">Additionally, the </w:t>
      </w:r>
      <w:r w:rsidR="00985B92">
        <w:t xml:space="preserve">travel behavior data used in the estimation of the binary logit models for the weights used in </w:t>
      </w:r>
      <w:r w:rsidRPr="00866B93">
        <w:t>PIE</w:t>
      </w:r>
      <w:r w:rsidRPr="00866B93">
        <w:rPr>
          <w:vertAlign w:val="subscript"/>
        </w:rPr>
        <w:t>0</w:t>
      </w:r>
      <w:r w:rsidRPr="00866B93">
        <w:t xml:space="preserve"> </w:t>
      </w:r>
      <w:r w:rsidR="00985B92">
        <w:t>were</w:t>
      </w:r>
      <w:r w:rsidRPr="00866B93">
        <w:t xml:space="preserve"> the Oregon Household Travel Survey (OHAS) </w:t>
      </w:r>
      <w:r w:rsidR="00985B92">
        <w:t>from</w:t>
      </w:r>
      <w:r w:rsidRPr="00866B93">
        <w:t xml:space="preserve"> 2011. The sample consisted </w:t>
      </w:r>
      <w:r w:rsidR="005669E7">
        <w:rPr>
          <w:noProof/>
        </w:rPr>
        <w:t>of</w:t>
      </w:r>
      <w:r w:rsidRPr="00866B93">
        <w:t xml:space="preserve"> 56,634 trips for a regular day, 36,463 trips </w:t>
      </w:r>
      <w:r w:rsidR="00985B92">
        <w:t xml:space="preserve">of which </w:t>
      </w:r>
      <w:r w:rsidRPr="00866B93">
        <w:t xml:space="preserve">correspond to the area where Portland Metro Context Tool had </w:t>
      </w:r>
      <w:r w:rsidRPr="005669E7">
        <w:rPr>
          <w:noProof/>
        </w:rPr>
        <w:t>measure</w:t>
      </w:r>
      <w:r w:rsidR="005669E7">
        <w:rPr>
          <w:noProof/>
        </w:rPr>
        <w:t>d</w:t>
      </w:r>
      <w:r w:rsidRPr="00866B93">
        <w:t>.</w:t>
      </w:r>
      <w:r w:rsidR="00866B93" w:rsidRPr="00866B93">
        <w:t xml:space="preserve"> </w:t>
      </w:r>
    </w:p>
    <w:p w14:paraId="3EDA80B7" w14:textId="0E1D4EDA" w:rsidR="00771236" w:rsidRDefault="00EF2C69" w:rsidP="00771236">
      <w:pPr>
        <w:pStyle w:val="BodyText"/>
      </w:pPr>
      <w:r>
        <w:lastRenderedPageBreak/>
        <w:t>The</w:t>
      </w:r>
      <w:r w:rsidR="00534AED">
        <w:t xml:space="preserve"> coefficients for PIE</w:t>
      </w:r>
      <w:r w:rsidR="00534AED">
        <w:rPr>
          <w:vertAlign w:val="subscript"/>
        </w:rPr>
        <w:t>0</w:t>
      </w:r>
      <w:r w:rsidR="00534AED">
        <w:t xml:space="preserve"> are shown in</w:t>
      </w:r>
      <w:r w:rsidR="00181234">
        <w:t xml:space="preserve"> </w:t>
      </w:r>
      <w:r w:rsidR="00181234">
        <w:fldChar w:fldCharType="begin"/>
      </w:r>
      <w:r w:rsidR="00181234">
        <w:instrText xml:space="preserve"> REF _Ref521597375 \h </w:instrText>
      </w:r>
      <w:r w:rsidR="00181234">
        <w:fldChar w:fldCharType="separate"/>
      </w:r>
      <w:r w:rsidR="00181234">
        <w:t xml:space="preserve">Table </w:t>
      </w:r>
      <w:r w:rsidR="00181234">
        <w:rPr>
          <w:noProof/>
        </w:rPr>
        <w:t>1</w:t>
      </w:r>
      <w:r w:rsidR="00181234">
        <w:fldChar w:fldCharType="end"/>
      </w:r>
      <w:r w:rsidR="00534AED">
        <w:t xml:space="preserve"> and the</w:t>
      </w:r>
      <w:r w:rsidRPr="00EF2C69">
        <w:t xml:space="preserve"> </w:t>
      </w:r>
      <w:r>
        <w:t xml:space="preserve">values for </w:t>
      </w:r>
      <w:r w:rsidRPr="00EF2C69">
        <w:t>PIE</w:t>
      </w:r>
      <w:r w:rsidRPr="00EF2C69">
        <w:rPr>
          <w:vertAlign w:val="subscript"/>
        </w:rPr>
        <w:t>0</w:t>
      </w:r>
      <w:r>
        <w:t xml:space="preserve"> for the Portland region </w:t>
      </w:r>
      <w:r w:rsidRPr="005669E7">
        <w:rPr>
          <w:noProof/>
        </w:rPr>
        <w:t>are show</w:t>
      </w:r>
      <w:r w:rsidR="005669E7" w:rsidRPr="001D10C5">
        <w:rPr>
          <w:noProof/>
        </w:rPr>
        <w:t>n</w:t>
      </w:r>
      <w:r>
        <w:t xml:space="preserve"> in </w:t>
      </w:r>
      <w:r>
        <w:fldChar w:fldCharType="begin"/>
      </w:r>
      <w:r>
        <w:instrText xml:space="preserve"> REF _Ref513458620 \h </w:instrText>
      </w:r>
      <w:r>
        <w:fldChar w:fldCharType="separate"/>
      </w:r>
      <w:r>
        <w:t xml:space="preserve">Figure </w:t>
      </w:r>
      <w:r>
        <w:rPr>
          <w:noProof/>
        </w:rPr>
        <w:t>1</w:t>
      </w:r>
      <w:r>
        <w:fldChar w:fldCharType="end"/>
      </w:r>
      <w:r>
        <w:t xml:space="preserve">. </w:t>
      </w:r>
      <w:r w:rsidR="00866B93" w:rsidRPr="00EF2C69">
        <w:t>The</w:t>
      </w:r>
      <w:r w:rsidR="00866B93" w:rsidRPr="00866B93">
        <w:t xml:space="preserve"> advantages of PIE</w:t>
      </w:r>
      <w:r w:rsidR="00866B93" w:rsidRPr="00866B93">
        <w:rPr>
          <w:vertAlign w:val="subscript"/>
        </w:rPr>
        <w:t>0</w:t>
      </w:r>
      <w:r w:rsidR="00866B93" w:rsidRPr="00866B93">
        <w:t xml:space="preserve"> were that it captur</w:t>
      </w:r>
      <w:r w:rsidR="00E44C6A">
        <w:t>ed fine-grained variations in the walking environment at the PAZ scale (</w:t>
      </w:r>
      <w:r w:rsidR="00866B93" w:rsidRPr="00866B93">
        <w:t>80</w:t>
      </w:r>
      <w:r w:rsidR="00E44C6A">
        <w:t>-meters</w:t>
      </w:r>
      <w:r w:rsidR="00866B93" w:rsidRPr="00866B93">
        <w:t xml:space="preserve"> by 80</w:t>
      </w:r>
      <w:r w:rsidR="00E44C6A">
        <w:t>-</w:t>
      </w:r>
      <w:r w:rsidR="00866B93" w:rsidRPr="00866B93">
        <w:t>meters</w:t>
      </w:r>
      <w:r w:rsidR="00E44C6A">
        <w:t>)</w:t>
      </w:r>
      <w:r w:rsidR="00866B93" w:rsidRPr="00866B93">
        <w:t>. This i</w:t>
      </w:r>
      <w:r w:rsidR="00E44C6A">
        <w:t>mproves upon the course scale used in most regional travel models, where Traffic Analysis Zones (TAZs) are the unit of analysis. A</w:t>
      </w:r>
      <w:r w:rsidR="00866B93" w:rsidRPr="00866B93">
        <w:t xml:space="preserve">dditionally, this index weighted the different built environment attributes </w:t>
      </w:r>
      <w:r w:rsidR="00E44C6A">
        <w:t xml:space="preserve">by their association with walking behavior </w:t>
      </w:r>
      <w:r w:rsidR="00866B93" w:rsidRPr="00866B93">
        <w:t>and improve</w:t>
      </w:r>
      <w:r w:rsidR="00E44C6A">
        <w:t>s</w:t>
      </w:r>
      <w:r w:rsidR="00866B93" w:rsidRPr="00866B93">
        <w:t xml:space="preserve"> our characterization of “walkability”. Th</w:t>
      </w:r>
      <w:r w:rsidR="00E44C6A">
        <w:t>us, PIE</w:t>
      </w:r>
      <w:r w:rsidR="00E44C6A" w:rsidRPr="00E44C6A">
        <w:rPr>
          <w:vertAlign w:val="subscript"/>
        </w:rPr>
        <w:t>0</w:t>
      </w:r>
      <w:r w:rsidR="00E44C6A">
        <w:t xml:space="preserve"> was</w:t>
      </w:r>
      <w:r w:rsidR="00866B93" w:rsidRPr="00866B93">
        <w:t xml:space="preserve"> statistically significant</w:t>
      </w:r>
      <w:r w:rsidR="00E44C6A">
        <w:t xml:space="preserve"> in our </w:t>
      </w:r>
      <w:r w:rsidR="005F1427">
        <w:t>later analysis of travel behaviors (mode choice and trip generation)</w:t>
      </w:r>
      <w:r w:rsidR="00866B93" w:rsidRPr="00866B93">
        <w:t xml:space="preserve">. </w:t>
      </w:r>
      <w:r w:rsidR="005F1427">
        <w:t>In addition to the contributions made by PIE</w:t>
      </w:r>
      <w:r w:rsidR="005F1427" w:rsidRPr="005F1427">
        <w:rPr>
          <w:vertAlign w:val="subscript"/>
        </w:rPr>
        <w:t>0</w:t>
      </w:r>
      <w:r w:rsidR="00866B93" w:rsidRPr="00866B93">
        <w:t xml:space="preserve">, </w:t>
      </w:r>
      <w:r w:rsidR="005F1427">
        <w:t xml:space="preserve">MoPeD </w:t>
      </w:r>
      <w:r w:rsidR="00866B93" w:rsidRPr="00866B93">
        <w:t xml:space="preserve">can </w:t>
      </w:r>
      <w:r w:rsidR="005F1427">
        <w:t>be used</w:t>
      </w:r>
      <w:r w:rsidR="00866B93" w:rsidRPr="00866B93">
        <w:t xml:space="preserve"> as a stand-alone demand tool</w:t>
      </w:r>
      <w:r w:rsidR="005F1427">
        <w:t xml:space="preserve"> or in concert with Metro's</w:t>
      </w:r>
      <w:r w:rsidR="00866B93" w:rsidRPr="00866B93">
        <w:t xml:space="preserve"> regional travel model. </w:t>
      </w:r>
      <w:r w:rsidR="005F1427">
        <w:t>Despite these improvements</w:t>
      </w:r>
      <w:r w:rsidR="00866B93" w:rsidRPr="00866B93">
        <w:t xml:space="preserve">, the methodology still has some limitations. First, the data sources used for the model estimation </w:t>
      </w:r>
      <w:r w:rsidR="005F1427">
        <w:t>used</w:t>
      </w:r>
      <w:r w:rsidR="00866B93" w:rsidRPr="00866B93">
        <w:t xml:space="preserve"> discrete values between 1 and 5 using natural breaks to transform the data</w:t>
      </w:r>
      <w:r w:rsidR="005F1427">
        <w:t xml:space="preserve"> rather than the direct values of the built environment variables</w:t>
      </w:r>
      <w:r w:rsidR="00866B93" w:rsidRPr="00866B93">
        <w:t>. Th</w:t>
      </w:r>
      <w:r w:rsidR="005F1427">
        <w:t xml:space="preserve">is presents problems in transferring the measures and the models to other </w:t>
      </w:r>
      <w:r w:rsidR="005F1427" w:rsidRPr="001D10C5">
        <w:rPr>
          <w:noProof/>
        </w:rPr>
        <w:t>places</w:t>
      </w:r>
      <w:r w:rsidR="005F1427">
        <w:t xml:space="preserve"> since each location will have its own distributions of these variables (and different corresponding natural breaks). </w:t>
      </w:r>
    </w:p>
    <w:p w14:paraId="703D9935" w14:textId="205B2F42" w:rsidR="00534AED" w:rsidRPr="00534AED" w:rsidRDefault="00534AED" w:rsidP="00FA1EDF">
      <w:pPr>
        <w:pStyle w:val="Caption"/>
        <w:rPr>
          <w:vertAlign w:val="subscript"/>
        </w:rPr>
      </w:pPr>
      <w:bookmarkStart w:id="10" w:name="_Ref521597375"/>
      <w:bookmarkStart w:id="11" w:name="_Toc359251531"/>
      <w:bookmarkStart w:id="12" w:name="_Toc2003590"/>
      <w:r>
        <w:t xml:space="preserve">Table </w:t>
      </w:r>
      <w:r w:rsidR="001D2758">
        <w:rPr>
          <w:noProof/>
        </w:rPr>
        <w:fldChar w:fldCharType="begin"/>
      </w:r>
      <w:r w:rsidR="001D2758">
        <w:rPr>
          <w:noProof/>
        </w:rPr>
        <w:instrText xml:space="preserve"> SEQ Table \* ARABIC </w:instrText>
      </w:r>
      <w:r w:rsidR="001D2758">
        <w:rPr>
          <w:noProof/>
        </w:rPr>
        <w:fldChar w:fldCharType="separate"/>
      </w:r>
      <w:r w:rsidR="00CC248F">
        <w:rPr>
          <w:noProof/>
        </w:rPr>
        <w:t>1</w:t>
      </w:r>
      <w:r w:rsidR="001D2758">
        <w:rPr>
          <w:noProof/>
        </w:rPr>
        <w:fldChar w:fldCharType="end"/>
      </w:r>
      <w:bookmarkEnd w:id="10"/>
      <w:r>
        <w:fldChar w:fldCharType="begin"/>
      </w:r>
      <w:r>
        <w:instrText xml:space="preserve"> REF _Ref513459399 \h </w:instrText>
      </w:r>
      <w:r>
        <w:fldChar w:fldCharType="end"/>
      </w:r>
      <w:r>
        <w:t xml:space="preserve"> </w:t>
      </w:r>
      <w:r w:rsidRPr="00A731EB">
        <w:t xml:space="preserve">Binary Logit Models </w:t>
      </w:r>
      <w:bookmarkEnd w:id="11"/>
      <w:r>
        <w:t>for PIE</w:t>
      </w:r>
      <w:r>
        <w:rPr>
          <w:vertAlign w:val="subscript"/>
        </w:rPr>
        <w:t>0</w:t>
      </w:r>
      <w:bookmarkEnd w:id="12"/>
    </w:p>
    <w:tbl>
      <w:tblPr>
        <w:tblW w:w="7125" w:type="dxa"/>
        <w:jc w:val="center"/>
        <w:tblLook w:val="04A0" w:firstRow="1" w:lastRow="0" w:firstColumn="1" w:lastColumn="0" w:noHBand="0" w:noVBand="1"/>
      </w:tblPr>
      <w:tblGrid>
        <w:gridCol w:w="2355"/>
        <w:gridCol w:w="90"/>
        <w:gridCol w:w="1530"/>
        <w:gridCol w:w="1620"/>
        <w:gridCol w:w="1530"/>
      </w:tblGrid>
      <w:tr w:rsidR="00534AED" w:rsidRPr="00DB7E02" w14:paraId="116CAFC4" w14:textId="77777777" w:rsidTr="005669E7">
        <w:trPr>
          <w:trHeight w:val="466"/>
          <w:jc w:val="center"/>
        </w:trPr>
        <w:tc>
          <w:tcPr>
            <w:tcW w:w="2355" w:type="dxa"/>
            <w:tcBorders>
              <w:top w:val="single" w:sz="4" w:space="0" w:color="auto"/>
              <w:bottom w:val="single" w:sz="4" w:space="0" w:color="auto"/>
            </w:tcBorders>
            <w:shd w:val="clear" w:color="auto" w:fill="auto"/>
            <w:noWrap/>
            <w:vAlign w:val="bottom"/>
            <w:hideMark/>
          </w:tcPr>
          <w:p w14:paraId="062B7BF8" w14:textId="4F3659D0" w:rsidR="00534AED" w:rsidRPr="00DB7E02" w:rsidRDefault="00534AED" w:rsidP="005669E7">
            <w:pPr>
              <w:keepNext/>
              <w:widowControl w:val="0"/>
              <w:jc w:val="center"/>
              <w:rPr>
                <w:b/>
                <w:bCs/>
                <w:color w:val="000000"/>
                <w:sz w:val="20"/>
              </w:rPr>
            </w:pPr>
            <w:r w:rsidRPr="00DB7E02">
              <w:rPr>
                <w:b/>
                <w:bCs/>
                <w:color w:val="000000"/>
                <w:sz w:val="20"/>
              </w:rPr>
              <w:t>Context Variable (</w:t>
            </w:r>
            <w:r>
              <w:rPr>
                <w:b/>
                <w:bCs/>
                <w:i/>
                <w:color w:val="000000"/>
                <w:sz w:val="20"/>
              </w:rPr>
              <w:t>z</w:t>
            </w:r>
            <w:r w:rsidRPr="00DB7E02">
              <w:rPr>
                <w:b/>
                <w:bCs/>
                <w:color w:val="000000"/>
                <w:sz w:val="20"/>
                <w:vertAlign w:val="subscript"/>
              </w:rPr>
              <w:t>n</w:t>
            </w:r>
            <w:r w:rsidRPr="00DB7E02">
              <w:rPr>
                <w:b/>
                <w:bCs/>
                <w:color w:val="000000"/>
                <w:sz w:val="20"/>
              </w:rPr>
              <w:t>)</w:t>
            </w:r>
          </w:p>
        </w:tc>
        <w:tc>
          <w:tcPr>
            <w:tcW w:w="1620" w:type="dxa"/>
            <w:gridSpan w:val="2"/>
            <w:tcBorders>
              <w:top w:val="single" w:sz="4" w:space="0" w:color="auto"/>
              <w:bottom w:val="single" w:sz="4" w:space="0" w:color="auto"/>
            </w:tcBorders>
            <w:shd w:val="clear" w:color="auto" w:fill="auto"/>
            <w:noWrap/>
            <w:vAlign w:val="bottom"/>
            <w:hideMark/>
          </w:tcPr>
          <w:p w14:paraId="4D3F9A5B" w14:textId="77777777" w:rsidR="00534AED" w:rsidRPr="00DB7E02" w:rsidRDefault="00534AED" w:rsidP="005669E7">
            <w:pPr>
              <w:keepNext/>
              <w:widowControl w:val="0"/>
              <w:jc w:val="center"/>
              <w:rPr>
                <w:b/>
                <w:bCs/>
                <w:color w:val="000000"/>
                <w:sz w:val="20"/>
              </w:rPr>
            </w:pPr>
            <w:r w:rsidRPr="00DB7E02">
              <w:rPr>
                <w:b/>
                <w:bCs/>
                <w:color w:val="000000"/>
                <w:sz w:val="20"/>
              </w:rPr>
              <w:t>Coefficient (</w:t>
            </w:r>
            <w:r w:rsidRPr="00DB7E02">
              <w:rPr>
                <w:b/>
                <w:bCs/>
                <w:i/>
                <w:color w:val="000000"/>
                <w:sz w:val="20"/>
              </w:rPr>
              <w:t>β</w:t>
            </w:r>
            <w:r w:rsidRPr="00DB7E02">
              <w:rPr>
                <w:b/>
                <w:bCs/>
                <w:color w:val="000000"/>
                <w:sz w:val="20"/>
              </w:rPr>
              <w:t>)</w:t>
            </w:r>
          </w:p>
        </w:tc>
        <w:tc>
          <w:tcPr>
            <w:tcW w:w="1620" w:type="dxa"/>
            <w:tcBorders>
              <w:top w:val="single" w:sz="4" w:space="0" w:color="auto"/>
              <w:bottom w:val="single" w:sz="4" w:space="0" w:color="auto"/>
            </w:tcBorders>
            <w:shd w:val="clear" w:color="auto" w:fill="auto"/>
            <w:noWrap/>
            <w:vAlign w:val="bottom"/>
            <w:hideMark/>
          </w:tcPr>
          <w:p w14:paraId="1C1176EB" w14:textId="77777777" w:rsidR="00534AED" w:rsidRPr="00DB7E02" w:rsidRDefault="00534AED" w:rsidP="005669E7">
            <w:pPr>
              <w:keepNext/>
              <w:widowControl w:val="0"/>
              <w:jc w:val="center"/>
              <w:rPr>
                <w:b/>
                <w:bCs/>
                <w:color w:val="000000"/>
                <w:sz w:val="20"/>
              </w:rPr>
            </w:pPr>
            <w:r w:rsidRPr="00DB7E02">
              <w:rPr>
                <w:b/>
                <w:bCs/>
                <w:color w:val="000000"/>
                <w:sz w:val="20"/>
              </w:rPr>
              <w:t>p-value</w:t>
            </w:r>
          </w:p>
        </w:tc>
        <w:tc>
          <w:tcPr>
            <w:tcW w:w="1530" w:type="dxa"/>
            <w:tcBorders>
              <w:top w:val="single" w:sz="4" w:space="0" w:color="auto"/>
              <w:bottom w:val="single" w:sz="4" w:space="0" w:color="auto"/>
            </w:tcBorders>
            <w:shd w:val="clear" w:color="auto" w:fill="auto"/>
            <w:vAlign w:val="bottom"/>
            <w:hideMark/>
          </w:tcPr>
          <w:p w14:paraId="650BD163" w14:textId="77777777" w:rsidR="00534AED" w:rsidRPr="00DB7E02" w:rsidRDefault="00534AED" w:rsidP="005669E7">
            <w:pPr>
              <w:keepNext/>
              <w:widowControl w:val="0"/>
              <w:jc w:val="center"/>
              <w:rPr>
                <w:b/>
                <w:bCs/>
                <w:color w:val="000000"/>
                <w:sz w:val="20"/>
              </w:rPr>
            </w:pPr>
            <w:r w:rsidRPr="00DB7E02">
              <w:rPr>
                <w:b/>
                <w:bCs/>
                <w:color w:val="000000"/>
                <w:sz w:val="20"/>
              </w:rPr>
              <w:t xml:space="preserve">Model </w:t>
            </w:r>
            <w:r w:rsidRPr="00DB7E02">
              <w:rPr>
                <w:b/>
                <w:bCs/>
                <w:color w:val="000000"/>
                <w:sz w:val="20"/>
              </w:rPr>
              <w:br/>
              <w:t>pseudo-R</w:t>
            </w:r>
            <w:r w:rsidRPr="00DB7E02">
              <w:rPr>
                <w:b/>
                <w:bCs/>
                <w:color w:val="000000"/>
                <w:sz w:val="20"/>
                <w:vertAlign w:val="superscript"/>
              </w:rPr>
              <w:t>2</w:t>
            </w:r>
          </w:p>
        </w:tc>
      </w:tr>
      <w:tr w:rsidR="00534AED" w:rsidRPr="00DB7E02" w14:paraId="3124870C" w14:textId="77777777" w:rsidTr="005669E7">
        <w:trPr>
          <w:trHeight w:val="144"/>
          <w:jc w:val="center"/>
        </w:trPr>
        <w:tc>
          <w:tcPr>
            <w:tcW w:w="2355" w:type="dxa"/>
            <w:tcBorders>
              <w:top w:val="single" w:sz="4" w:space="0" w:color="auto"/>
            </w:tcBorders>
            <w:shd w:val="clear" w:color="auto" w:fill="auto"/>
            <w:noWrap/>
            <w:vAlign w:val="bottom"/>
          </w:tcPr>
          <w:p w14:paraId="119F9BCB" w14:textId="77777777" w:rsidR="00534AED" w:rsidRPr="00DB7E02" w:rsidRDefault="00534AED" w:rsidP="005669E7">
            <w:pPr>
              <w:keepNext/>
              <w:widowControl w:val="0"/>
              <w:rPr>
                <w:b/>
                <w:bCs/>
                <w:i/>
                <w:color w:val="000000"/>
                <w:sz w:val="20"/>
              </w:rPr>
            </w:pPr>
            <w:r w:rsidRPr="00DB7E02">
              <w:rPr>
                <w:b/>
                <w:bCs/>
                <w:i/>
                <w:color w:val="000000"/>
                <w:sz w:val="20"/>
              </w:rPr>
              <w:t>Model 1</w:t>
            </w:r>
          </w:p>
        </w:tc>
        <w:tc>
          <w:tcPr>
            <w:tcW w:w="1620" w:type="dxa"/>
            <w:gridSpan w:val="2"/>
            <w:tcBorders>
              <w:top w:val="single" w:sz="4" w:space="0" w:color="auto"/>
            </w:tcBorders>
            <w:shd w:val="clear" w:color="auto" w:fill="auto"/>
            <w:noWrap/>
            <w:vAlign w:val="bottom"/>
          </w:tcPr>
          <w:p w14:paraId="332866F4"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30027EED"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6ACC0D3B" w14:textId="77777777" w:rsidR="00534AED" w:rsidRPr="00DB7E02" w:rsidRDefault="00534AED" w:rsidP="005669E7">
            <w:pPr>
              <w:keepNext/>
              <w:widowControl w:val="0"/>
              <w:jc w:val="right"/>
              <w:rPr>
                <w:i/>
                <w:color w:val="000000"/>
                <w:sz w:val="20"/>
              </w:rPr>
            </w:pPr>
          </w:p>
        </w:tc>
      </w:tr>
      <w:tr w:rsidR="00534AED" w:rsidRPr="00DB7E02" w14:paraId="3BB6F341" w14:textId="77777777" w:rsidTr="005669E7">
        <w:trPr>
          <w:trHeight w:val="144"/>
          <w:jc w:val="center"/>
        </w:trPr>
        <w:tc>
          <w:tcPr>
            <w:tcW w:w="2355" w:type="dxa"/>
            <w:shd w:val="clear" w:color="auto" w:fill="auto"/>
            <w:noWrap/>
            <w:vAlign w:val="bottom"/>
            <w:hideMark/>
          </w:tcPr>
          <w:p w14:paraId="615D9F83" w14:textId="77777777" w:rsidR="00534AED" w:rsidRPr="00DB7E02" w:rsidRDefault="00534AED" w:rsidP="005669E7">
            <w:pPr>
              <w:keepNext/>
              <w:widowControl w:val="0"/>
              <w:rPr>
                <w:bCs/>
                <w:color w:val="000000"/>
                <w:sz w:val="20"/>
              </w:rPr>
            </w:pPr>
            <w:r w:rsidRPr="00DB7E02">
              <w:rPr>
                <w:bCs/>
                <w:color w:val="000000"/>
                <w:sz w:val="20"/>
              </w:rPr>
              <w:t xml:space="preserve">Bicycle Access </w:t>
            </w:r>
          </w:p>
        </w:tc>
        <w:tc>
          <w:tcPr>
            <w:tcW w:w="1620" w:type="dxa"/>
            <w:gridSpan w:val="2"/>
            <w:shd w:val="clear" w:color="auto" w:fill="auto"/>
            <w:noWrap/>
            <w:vAlign w:val="bottom"/>
            <w:hideMark/>
          </w:tcPr>
          <w:p w14:paraId="5FBD61B8" w14:textId="77777777" w:rsidR="00534AED" w:rsidRPr="00DB7E02" w:rsidRDefault="00534AED" w:rsidP="005669E7">
            <w:pPr>
              <w:keepNext/>
              <w:widowControl w:val="0"/>
              <w:jc w:val="center"/>
              <w:rPr>
                <w:bCs/>
                <w:color w:val="000000"/>
                <w:sz w:val="20"/>
              </w:rPr>
            </w:pPr>
            <w:r w:rsidRPr="00DB7E02">
              <w:rPr>
                <w:bCs/>
                <w:color w:val="000000"/>
                <w:sz w:val="20"/>
              </w:rPr>
              <w:t>0.494</w:t>
            </w:r>
          </w:p>
        </w:tc>
        <w:tc>
          <w:tcPr>
            <w:tcW w:w="1620" w:type="dxa"/>
            <w:shd w:val="clear" w:color="auto" w:fill="auto"/>
            <w:noWrap/>
            <w:vAlign w:val="bottom"/>
            <w:hideMark/>
          </w:tcPr>
          <w:p w14:paraId="7F5AB6B7"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562099BE" w14:textId="77777777" w:rsidR="00534AED" w:rsidRPr="00DB7E02" w:rsidRDefault="00534AED" w:rsidP="005669E7">
            <w:pPr>
              <w:keepNext/>
              <w:widowControl w:val="0"/>
              <w:jc w:val="center"/>
              <w:rPr>
                <w:color w:val="000000"/>
                <w:sz w:val="20"/>
              </w:rPr>
            </w:pPr>
            <w:r w:rsidRPr="00DB7E02">
              <w:rPr>
                <w:color w:val="000000"/>
                <w:sz w:val="20"/>
              </w:rPr>
              <w:t>0.057</w:t>
            </w:r>
          </w:p>
        </w:tc>
      </w:tr>
      <w:tr w:rsidR="00534AED" w:rsidRPr="00DB7E02" w14:paraId="182B0C46" w14:textId="77777777" w:rsidTr="005669E7">
        <w:trPr>
          <w:trHeight w:val="144"/>
          <w:jc w:val="center"/>
        </w:trPr>
        <w:tc>
          <w:tcPr>
            <w:tcW w:w="2355" w:type="dxa"/>
            <w:tcBorders>
              <w:bottom w:val="single" w:sz="4" w:space="0" w:color="auto"/>
            </w:tcBorders>
            <w:shd w:val="clear" w:color="auto" w:fill="auto"/>
            <w:noWrap/>
            <w:vAlign w:val="bottom"/>
            <w:hideMark/>
          </w:tcPr>
          <w:p w14:paraId="749EC74C"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0A50A1C7" w14:textId="77777777" w:rsidR="00534AED" w:rsidRPr="00DB7E02" w:rsidRDefault="00534AED" w:rsidP="005669E7">
            <w:pPr>
              <w:keepNext/>
              <w:widowControl w:val="0"/>
              <w:jc w:val="center"/>
              <w:rPr>
                <w:color w:val="000000"/>
                <w:sz w:val="20"/>
              </w:rPr>
            </w:pPr>
            <w:r w:rsidRPr="00DB7E02">
              <w:rPr>
                <w:color w:val="000000"/>
                <w:sz w:val="20"/>
              </w:rPr>
              <w:t>-4.047</w:t>
            </w:r>
          </w:p>
        </w:tc>
        <w:tc>
          <w:tcPr>
            <w:tcW w:w="1620" w:type="dxa"/>
            <w:tcBorders>
              <w:bottom w:val="single" w:sz="4" w:space="0" w:color="auto"/>
            </w:tcBorders>
            <w:shd w:val="clear" w:color="auto" w:fill="auto"/>
            <w:noWrap/>
            <w:vAlign w:val="bottom"/>
            <w:hideMark/>
          </w:tcPr>
          <w:p w14:paraId="525B09D0"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09944516" w14:textId="77777777" w:rsidR="00534AED" w:rsidRPr="00DB7E02" w:rsidRDefault="00534AED" w:rsidP="005669E7">
            <w:pPr>
              <w:keepNext/>
              <w:widowControl w:val="0"/>
              <w:jc w:val="center"/>
              <w:rPr>
                <w:color w:val="000000"/>
                <w:sz w:val="20"/>
              </w:rPr>
            </w:pPr>
          </w:p>
        </w:tc>
      </w:tr>
      <w:tr w:rsidR="00534AED" w:rsidRPr="00DB7E02" w14:paraId="3083B16A" w14:textId="77777777" w:rsidTr="005669E7">
        <w:trPr>
          <w:trHeight w:val="144"/>
          <w:jc w:val="center"/>
        </w:trPr>
        <w:tc>
          <w:tcPr>
            <w:tcW w:w="2355" w:type="dxa"/>
            <w:tcBorders>
              <w:top w:val="single" w:sz="4" w:space="0" w:color="auto"/>
            </w:tcBorders>
            <w:shd w:val="clear" w:color="auto" w:fill="auto"/>
            <w:noWrap/>
            <w:vAlign w:val="bottom"/>
          </w:tcPr>
          <w:p w14:paraId="4682A482" w14:textId="77777777" w:rsidR="00534AED" w:rsidRPr="00DB7E02" w:rsidRDefault="00534AED" w:rsidP="005669E7">
            <w:pPr>
              <w:keepNext/>
              <w:widowControl w:val="0"/>
              <w:rPr>
                <w:b/>
                <w:bCs/>
                <w:i/>
                <w:color w:val="000000"/>
                <w:sz w:val="20"/>
              </w:rPr>
            </w:pPr>
            <w:r w:rsidRPr="00DB7E02">
              <w:rPr>
                <w:b/>
                <w:bCs/>
                <w:i/>
                <w:color w:val="000000"/>
                <w:sz w:val="20"/>
              </w:rPr>
              <w:t>Model 2</w:t>
            </w:r>
          </w:p>
        </w:tc>
        <w:tc>
          <w:tcPr>
            <w:tcW w:w="1620" w:type="dxa"/>
            <w:gridSpan w:val="2"/>
            <w:tcBorders>
              <w:top w:val="single" w:sz="4" w:space="0" w:color="auto"/>
            </w:tcBorders>
            <w:shd w:val="clear" w:color="auto" w:fill="auto"/>
            <w:noWrap/>
            <w:vAlign w:val="bottom"/>
          </w:tcPr>
          <w:p w14:paraId="1CEDE938"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6E18C296"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46EDEC01" w14:textId="77777777" w:rsidR="00534AED" w:rsidRPr="00DB7E02" w:rsidRDefault="00534AED" w:rsidP="005669E7">
            <w:pPr>
              <w:keepNext/>
              <w:widowControl w:val="0"/>
              <w:jc w:val="center"/>
              <w:rPr>
                <w:i/>
                <w:color w:val="000000"/>
                <w:sz w:val="20"/>
              </w:rPr>
            </w:pPr>
          </w:p>
        </w:tc>
      </w:tr>
      <w:tr w:rsidR="00534AED" w:rsidRPr="00DB7E02" w14:paraId="6B59BE9E" w14:textId="77777777" w:rsidTr="005669E7">
        <w:trPr>
          <w:trHeight w:val="144"/>
          <w:jc w:val="center"/>
        </w:trPr>
        <w:tc>
          <w:tcPr>
            <w:tcW w:w="2355" w:type="dxa"/>
            <w:shd w:val="clear" w:color="auto" w:fill="auto"/>
            <w:noWrap/>
            <w:vAlign w:val="bottom"/>
            <w:hideMark/>
          </w:tcPr>
          <w:p w14:paraId="4739FB2F" w14:textId="77777777" w:rsidR="00534AED" w:rsidRPr="00DB7E02" w:rsidRDefault="00534AED" w:rsidP="005669E7">
            <w:pPr>
              <w:keepNext/>
              <w:widowControl w:val="0"/>
              <w:rPr>
                <w:bCs/>
                <w:color w:val="000000"/>
                <w:sz w:val="20"/>
              </w:rPr>
            </w:pPr>
            <w:r w:rsidRPr="00DB7E02">
              <w:rPr>
                <w:bCs/>
                <w:color w:val="000000"/>
                <w:sz w:val="20"/>
              </w:rPr>
              <w:t>Block Size</w:t>
            </w:r>
          </w:p>
        </w:tc>
        <w:tc>
          <w:tcPr>
            <w:tcW w:w="1620" w:type="dxa"/>
            <w:gridSpan w:val="2"/>
            <w:shd w:val="clear" w:color="auto" w:fill="auto"/>
            <w:noWrap/>
            <w:vAlign w:val="bottom"/>
            <w:hideMark/>
          </w:tcPr>
          <w:p w14:paraId="16662573" w14:textId="77777777" w:rsidR="00534AED" w:rsidRPr="00DB7E02" w:rsidRDefault="00534AED" w:rsidP="005669E7">
            <w:pPr>
              <w:keepNext/>
              <w:widowControl w:val="0"/>
              <w:jc w:val="center"/>
              <w:rPr>
                <w:bCs/>
                <w:color w:val="000000"/>
                <w:sz w:val="20"/>
              </w:rPr>
            </w:pPr>
            <w:r w:rsidRPr="00DB7E02">
              <w:rPr>
                <w:bCs/>
                <w:color w:val="000000"/>
                <w:sz w:val="20"/>
              </w:rPr>
              <w:t>0.543</w:t>
            </w:r>
          </w:p>
        </w:tc>
        <w:tc>
          <w:tcPr>
            <w:tcW w:w="1620" w:type="dxa"/>
            <w:shd w:val="clear" w:color="auto" w:fill="auto"/>
            <w:noWrap/>
            <w:vAlign w:val="bottom"/>
            <w:hideMark/>
          </w:tcPr>
          <w:p w14:paraId="67B76B6A"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02A0BC05" w14:textId="77777777" w:rsidR="00534AED" w:rsidRPr="00DB7E02" w:rsidRDefault="00534AED" w:rsidP="005669E7">
            <w:pPr>
              <w:keepNext/>
              <w:widowControl w:val="0"/>
              <w:jc w:val="center"/>
              <w:rPr>
                <w:color w:val="000000"/>
                <w:sz w:val="20"/>
              </w:rPr>
            </w:pPr>
            <w:r w:rsidRPr="00DB7E02">
              <w:rPr>
                <w:color w:val="000000"/>
                <w:sz w:val="20"/>
              </w:rPr>
              <w:t>0.096</w:t>
            </w:r>
          </w:p>
        </w:tc>
      </w:tr>
      <w:tr w:rsidR="00534AED" w:rsidRPr="00DB7E02" w14:paraId="0F195F6C" w14:textId="77777777" w:rsidTr="005669E7">
        <w:trPr>
          <w:trHeight w:val="144"/>
          <w:jc w:val="center"/>
        </w:trPr>
        <w:tc>
          <w:tcPr>
            <w:tcW w:w="2355" w:type="dxa"/>
            <w:tcBorders>
              <w:bottom w:val="single" w:sz="4" w:space="0" w:color="auto"/>
            </w:tcBorders>
            <w:shd w:val="clear" w:color="auto" w:fill="auto"/>
            <w:noWrap/>
            <w:vAlign w:val="bottom"/>
            <w:hideMark/>
          </w:tcPr>
          <w:p w14:paraId="6CF29315"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31017BC0" w14:textId="77777777" w:rsidR="00534AED" w:rsidRPr="00DB7E02" w:rsidRDefault="00534AED" w:rsidP="005669E7">
            <w:pPr>
              <w:keepNext/>
              <w:widowControl w:val="0"/>
              <w:jc w:val="center"/>
              <w:rPr>
                <w:color w:val="000000"/>
                <w:sz w:val="20"/>
              </w:rPr>
            </w:pPr>
            <w:r w:rsidRPr="00DB7E02">
              <w:rPr>
                <w:color w:val="000000"/>
                <w:sz w:val="20"/>
              </w:rPr>
              <w:t>-3.729</w:t>
            </w:r>
          </w:p>
        </w:tc>
        <w:tc>
          <w:tcPr>
            <w:tcW w:w="1620" w:type="dxa"/>
            <w:tcBorders>
              <w:bottom w:val="single" w:sz="4" w:space="0" w:color="auto"/>
            </w:tcBorders>
            <w:shd w:val="clear" w:color="auto" w:fill="auto"/>
            <w:noWrap/>
            <w:vAlign w:val="bottom"/>
            <w:hideMark/>
          </w:tcPr>
          <w:p w14:paraId="20F5369D"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7A3CF1E9" w14:textId="77777777" w:rsidR="00534AED" w:rsidRPr="00DB7E02" w:rsidRDefault="00534AED" w:rsidP="005669E7">
            <w:pPr>
              <w:keepNext/>
              <w:widowControl w:val="0"/>
              <w:jc w:val="center"/>
              <w:rPr>
                <w:color w:val="000000"/>
                <w:sz w:val="20"/>
              </w:rPr>
            </w:pPr>
          </w:p>
        </w:tc>
      </w:tr>
      <w:tr w:rsidR="00534AED" w:rsidRPr="00DB7E02" w14:paraId="0DD185BC" w14:textId="77777777" w:rsidTr="005669E7">
        <w:trPr>
          <w:trHeight w:val="144"/>
          <w:jc w:val="center"/>
        </w:trPr>
        <w:tc>
          <w:tcPr>
            <w:tcW w:w="2355" w:type="dxa"/>
            <w:tcBorders>
              <w:top w:val="single" w:sz="4" w:space="0" w:color="auto"/>
            </w:tcBorders>
            <w:shd w:val="clear" w:color="auto" w:fill="auto"/>
            <w:noWrap/>
            <w:vAlign w:val="bottom"/>
          </w:tcPr>
          <w:p w14:paraId="4E8458A3" w14:textId="6D31C5AA" w:rsidR="00534AED" w:rsidRPr="00DB7E02" w:rsidRDefault="00534AED" w:rsidP="005669E7">
            <w:pPr>
              <w:keepNext/>
              <w:widowControl w:val="0"/>
              <w:rPr>
                <w:b/>
                <w:bCs/>
                <w:i/>
                <w:color w:val="000000"/>
                <w:sz w:val="20"/>
              </w:rPr>
            </w:pPr>
            <w:r>
              <w:rPr>
                <w:b/>
                <w:bCs/>
                <w:i/>
                <w:color w:val="000000"/>
                <w:sz w:val="20"/>
              </w:rPr>
              <w:t>Model 3</w:t>
            </w:r>
          </w:p>
        </w:tc>
        <w:tc>
          <w:tcPr>
            <w:tcW w:w="1620" w:type="dxa"/>
            <w:gridSpan w:val="2"/>
            <w:tcBorders>
              <w:top w:val="single" w:sz="4" w:space="0" w:color="auto"/>
            </w:tcBorders>
            <w:shd w:val="clear" w:color="auto" w:fill="auto"/>
            <w:noWrap/>
            <w:vAlign w:val="bottom"/>
          </w:tcPr>
          <w:p w14:paraId="46495648"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067FE5AC"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739A9EF8" w14:textId="77777777" w:rsidR="00534AED" w:rsidRPr="00DB7E02" w:rsidRDefault="00534AED" w:rsidP="005669E7">
            <w:pPr>
              <w:keepNext/>
              <w:widowControl w:val="0"/>
              <w:jc w:val="center"/>
              <w:rPr>
                <w:i/>
                <w:color w:val="000000"/>
                <w:sz w:val="20"/>
              </w:rPr>
            </w:pPr>
          </w:p>
        </w:tc>
      </w:tr>
      <w:tr w:rsidR="00534AED" w:rsidRPr="00DB7E02" w14:paraId="1AED304C" w14:textId="77777777" w:rsidTr="005669E7">
        <w:trPr>
          <w:trHeight w:val="144"/>
          <w:jc w:val="center"/>
        </w:trPr>
        <w:tc>
          <w:tcPr>
            <w:tcW w:w="2355" w:type="dxa"/>
            <w:shd w:val="clear" w:color="auto" w:fill="auto"/>
            <w:noWrap/>
            <w:vAlign w:val="bottom"/>
            <w:hideMark/>
          </w:tcPr>
          <w:p w14:paraId="3A0437AB" w14:textId="77777777" w:rsidR="00534AED" w:rsidRPr="00DB7E02" w:rsidRDefault="00534AED" w:rsidP="005669E7">
            <w:pPr>
              <w:keepNext/>
              <w:widowControl w:val="0"/>
              <w:rPr>
                <w:bCs/>
                <w:color w:val="000000"/>
                <w:sz w:val="20"/>
              </w:rPr>
            </w:pPr>
            <w:r w:rsidRPr="00DB7E02">
              <w:rPr>
                <w:bCs/>
                <w:color w:val="000000"/>
                <w:sz w:val="20"/>
              </w:rPr>
              <w:t>People per Acre</w:t>
            </w:r>
          </w:p>
        </w:tc>
        <w:tc>
          <w:tcPr>
            <w:tcW w:w="1620" w:type="dxa"/>
            <w:gridSpan w:val="2"/>
            <w:shd w:val="clear" w:color="auto" w:fill="auto"/>
            <w:noWrap/>
            <w:vAlign w:val="bottom"/>
            <w:hideMark/>
          </w:tcPr>
          <w:p w14:paraId="4ED861B4" w14:textId="77777777" w:rsidR="00534AED" w:rsidRPr="00DB7E02" w:rsidRDefault="00534AED" w:rsidP="005669E7">
            <w:pPr>
              <w:keepNext/>
              <w:widowControl w:val="0"/>
              <w:jc w:val="center"/>
              <w:rPr>
                <w:bCs/>
                <w:color w:val="000000"/>
                <w:sz w:val="20"/>
              </w:rPr>
            </w:pPr>
            <w:r w:rsidRPr="00DB7E02">
              <w:rPr>
                <w:bCs/>
                <w:color w:val="000000"/>
                <w:sz w:val="20"/>
              </w:rPr>
              <w:t>0.812</w:t>
            </w:r>
          </w:p>
        </w:tc>
        <w:tc>
          <w:tcPr>
            <w:tcW w:w="1620" w:type="dxa"/>
            <w:shd w:val="clear" w:color="auto" w:fill="auto"/>
            <w:noWrap/>
            <w:vAlign w:val="bottom"/>
            <w:hideMark/>
          </w:tcPr>
          <w:p w14:paraId="5E291446"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68FBB21F" w14:textId="77777777" w:rsidR="00534AED" w:rsidRPr="00DB7E02" w:rsidRDefault="00534AED" w:rsidP="005669E7">
            <w:pPr>
              <w:keepNext/>
              <w:widowControl w:val="0"/>
              <w:jc w:val="center"/>
              <w:rPr>
                <w:color w:val="000000"/>
                <w:sz w:val="20"/>
              </w:rPr>
            </w:pPr>
            <w:r w:rsidRPr="00DB7E02">
              <w:rPr>
                <w:color w:val="000000"/>
                <w:sz w:val="20"/>
              </w:rPr>
              <w:t>0.095</w:t>
            </w:r>
          </w:p>
        </w:tc>
      </w:tr>
      <w:tr w:rsidR="00534AED" w:rsidRPr="00DB7E02" w14:paraId="251F312C" w14:textId="77777777" w:rsidTr="005669E7">
        <w:trPr>
          <w:trHeight w:val="144"/>
          <w:jc w:val="center"/>
        </w:trPr>
        <w:tc>
          <w:tcPr>
            <w:tcW w:w="2355" w:type="dxa"/>
            <w:tcBorders>
              <w:bottom w:val="single" w:sz="4" w:space="0" w:color="auto"/>
            </w:tcBorders>
            <w:shd w:val="clear" w:color="auto" w:fill="auto"/>
            <w:noWrap/>
            <w:vAlign w:val="bottom"/>
            <w:hideMark/>
          </w:tcPr>
          <w:p w14:paraId="18628FB4"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182FB9CB" w14:textId="77777777" w:rsidR="00534AED" w:rsidRPr="00DB7E02" w:rsidRDefault="00534AED" w:rsidP="005669E7">
            <w:pPr>
              <w:keepNext/>
              <w:widowControl w:val="0"/>
              <w:jc w:val="center"/>
              <w:rPr>
                <w:color w:val="000000"/>
                <w:sz w:val="20"/>
              </w:rPr>
            </w:pPr>
            <w:r w:rsidRPr="00DB7E02">
              <w:rPr>
                <w:color w:val="000000"/>
                <w:sz w:val="20"/>
              </w:rPr>
              <w:t>-4.304</w:t>
            </w:r>
          </w:p>
        </w:tc>
        <w:tc>
          <w:tcPr>
            <w:tcW w:w="1620" w:type="dxa"/>
            <w:tcBorders>
              <w:bottom w:val="single" w:sz="4" w:space="0" w:color="auto"/>
            </w:tcBorders>
            <w:shd w:val="clear" w:color="auto" w:fill="auto"/>
            <w:noWrap/>
            <w:vAlign w:val="bottom"/>
            <w:hideMark/>
          </w:tcPr>
          <w:p w14:paraId="79F76C92"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240D165A" w14:textId="77777777" w:rsidR="00534AED" w:rsidRPr="00DB7E02" w:rsidRDefault="00534AED" w:rsidP="005669E7">
            <w:pPr>
              <w:keepNext/>
              <w:widowControl w:val="0"/>
              <w:jc w:val="center"/>
              <w:rPr>
                <w:color w:val="000000"/>
                <w:sz w:val="20"/>
              </w:rPr>
            </w:pPr>
          </w:p>
        </w:tc>
      </w:tr>
      <w:tr w:rsidR="00534AED" w:rsidRPr="00DB7E02" w14:paraId="7F0477FE" w14:textId="77777777" w:rsidTr="005669E7">
        <w:trPr>
          <w:trHeight w:val="144"/>
          <w:jc w:val="center"/>
        </w:trPr>
        <w:tc>
          <w:tcPr>
            <w:tcW w:w="2355" w:type="dxa"/>
            <w:tcBorders>
              <w:top w:val="single" w:sz="4" w:space="0" w:color="auto"/>
            </w:tcBorders>
            <w:shd w:val="clear" w:color="auto" w:fill="auto"/>
            <w:noWrap/>
            <w:vAlign w:val="bottom"/>
          </w:tcPr>
          <w:p w14:paraId="38AE1A7C" w14:textId="183911B5" w:rsidR="00534AED" w:rsidRPr="00DB7E02" w:rsidRDefault="00534AED" w:rsidP="005669E7">
            <w:pPr>
              <w:keepNext/>
              <w:widowControl w:val="0"/>
              <w:rPr>
                <w:b/>
                <w:bCs/>
                <w:i/>
                <w:color w:val="000000"/>
                <w:sz w:val="20"/>
              </w:rPr>
            </w:pPr>
            <w:r>
              <w:rPr>
                <w:b/>
                <w:bCs/>
                <w:i/>
                <w:color w:val="000000"/>
                <w:sz w:val="20"/>
              </w:rPr>
              <w:t>Model 4</w:t>
            </w:r>
          </w:p>
        </w:tc>
        <w:tc>
          <w:tcPr>
            <w:tcW w:w="1620" w:type="dxa"/>
            <w:gridSpan w:val="2"/>
            <w:tcBorders>
              <w:top w:val="single" w:sz="4" w:space="0" w:color="auto"/>
            </w:tcBorders>
            <w:shd w:val="clear" w:color="auto" w:fill="auto"/>
            <w:noWrap/>
            <w:vAlign w:val="bottom"/>
          </w:tcPr>
          <w:p w14:paraId="0A3AD50D"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0E0C0A93"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7EFE5B60" w14:textId="77777777" w:rsidR="00534AED" w:rsidRPr="00DB7E02" w:rsidRDefault="00534AED" w:rsidP="005669E7">
            <w:pPr>
              <w:keepNext/>
              <w:widowControl w:val="0"/>
              <w:jc w:val="center"/>
              <w:rPr>
                <w:i/>
                <w:color w:val="000000"/>
                <w:sz w:val="20"/>
              </w:rPr>
            </w:pPr>
          </w:p>
        </w:tc>
      </w:tr>
      <w:tr w:rsidR="00534AED" w:rsidRPr="00DB7E02" w14:paraId="3DF4E612" w14:textId="77777777" w:rsidTr="005669E7">
        <w:trPr>
          <w:trHeight w:val="144"/>
          <w:jc w:val="center"/>
        </w:trPr>
        <w:tc>
          <w:tcPr>
            <w:tcW w:w="2355" w:type="dxa"/>
            <w:shd w:val="clear" w:color="auto" w:fill="auto"/>
            <w:noWrap/>
            <w:vAlign w:val="bottom"/>
            <w:hideMark/>
          </w:tcPr>
          <w:p w14:paraId="697C50DE" w14:textId="77777777" w:rsidR="00534AED" w:rsidRPr="00DB7E02" w:rsidRDefault="00534AED" w:rsidP="005669E7">
            <w:pPr>
              <w:keepNext/>
              <w:widowControl w:val="0"/>
              <w:rPr>
                <w:bCs/>
                <w:color w:val="000000"/>
                <w:sz w:val="20"/>
              </w:rPr>
            </w:pPr>
            <w:r w:rsidRPr="00DB7E02">
              <w:rPr>
                <w:bCs/>
                <w:color w:val="000000"/>
                <w:sz w:val="20"/>
              </w:rPr>
              <w:t>Sidewalk Density</w:t>
            </w:r>
          </w:p>
        </w:tc>
        <w:tc>
          <w:tcPr>
            <w:tcW w:w="1620" w:type="dxa"/>
            <w:gridSpan w:val="2"/>
            <w:shd w:val="clear" w:color="auto" w:fill="auto"/>
            <w:noWrap/>
            <w:vAlign w:val="bottom"/>
            <w:hideMark/>
          </w:tcPr>
          <w:p w14:paraId="61374FC1" w14:textId="77777777" w:rsidR="00534AED" w:rsidRPr="00DB7E02" w:rsidRDefault="00534AED" w:rsidP="005669E7">
            <w:pPr>
              <w:keepNext/>
              <w:widowControl w:val="0"/>
              <w:jc w:val="center"/>
              <w:rPr>
                <w:bCs/>
                <w:color w:val="000000"/>
                <w:sz w:val="20"/>
              </w:rPr>
            </w:pPr>
            <w:r w:rsidRPr="00DB7E02">
              <w:rPr>
                <w:bCs/>
                <w:color w:val="000000"/>
                <w:sz w:val="20"/>
              </w:rPr>
              <w:t>0.500</w:t>
            </w:r>
          </w:p>
        </w:tc>
        <w:tc>
          <w:tcPr>
            <w:tcW w:w="1620" w:type="dxa"/>
            <w:shd w:val="clear" w:color="auto" w:fill="auto"/>
            <w:noWrap/>
            <w:vAlign w:val="bottom"/>
            <w:hideMark/>
          </w:tcPr>
          <w:p w14:paraId="21FB89AA"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49DCFD79" w14:textId="77777777" w:rsidR="00534AED" w:rsidRPr="00DB7E02" w:rsidRDefault="00534AED" w:rsidP="005669E7">
            <w:pPr>
              <w:keepNext/>
              <w:widowControl w:val="0"/>
              <w:jc w:val="center"/>
              <w:rPr>
                <w:color w:val="000000"/>
                <w:sz w:val="20"/>
              </w:rPr>
            </w:pPr>
            <w:r w:rsidRPr="00DB7E02">
              <w:rPr>
                <w:color w:val="000000"/>
                <w:sz w:val="20"/>
              </w:rPr>
              <w:t>0.083</w:t>
            </w:r>
          </w:p>
        </w:tc>
      </w:tr>
      <w:tr w:rsidR="00534AED" w:rsidRPr="00DB7E02" w14:paraId="0B18DB0F" w14:textId="77777777" w:rsidTr="005669E7">
        <w:trPr>
          <w:trHeight w:val="144"/>
          <w:jc w:val="center"/>
        </w:trPr>
        <w:tc>
          <w:tcPr>
            <w:tcW w:w="2355" w:type="dxa"/>
            <w:tcBorders>
              <w:bottom w:val="single" w:sz="4" w:space="0" w:color="auto"/>
            </w:tcBorders>
            <w:shd w:val="clear" w:color="auto" w:fill="auto"/>
            <w:noWrap/>
            <w:vAlign w:val="bottom"/>
            <w:hideMark/>
          </w:tcPr>
          <w:p w14:paraId="772B1594"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4AE7D530" w14:textId="77777777" w:rsidR="00534AED" w:rsidRPr="00DB7E02" w:rsidRDefault="00534AED" w:rsidP="005669E7">
            <w:pPr>
              <w:keepNext/>
              <w:widowControl w:val="0"/>
              <w:jc w:val="center"/>
              <w:rPr>
                <w:color w:val="000000"/>
                <w:sz w:val="20"/>
              </w:rPr>
            </w:pPr>
            <w:r w:rsidRPr="00DB7E02">
              <w:rPr>
                <w:color w:val="000000"/>
                <w:sz w:val="20"/>
              </w:rPr>
              <w:t>-3.900</w:t>
            </w:r>
          </w:p>
        </w:tc>
        <w:tc>
          <w:tcPr>
            <w:tcW w:w="1620" w:type="dxa"/>
            <w:tcBorders>
              <w:bottom w:val="single" w:sz="4" w:space="0" w:color="auto"/>
            </w:tcBorders>
            <w:shd w:val="clear" w:color="auto" w:fill="auto"/>
            <w:noWrap/>
            <w:vAlign w:val="bottom"/>
            <w:hideMark/>
          </w:tcPr>
          <w:p w14:paraId="3AEA672F"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4D853A42" w14:textId="77777777" w:rsidR="00534AED" w:rsidRPr="00DB7E02" w:rsidRDefault="00534AED" w:rsidP="005669E7">
            <w:pPr>
              <w:keepNext/>
              <w:widowControl w:val="0"/>
              <w:jc w:val="center"/>
              <w:rPr>
                <w:color w:val="000000"/>
                <w:sz w:val="20"/>
              </w:rPr>
            </w:pPr>
          </w:p>
        </w:tc>
      </w:tr>
      <w:tr w:rsidR="00534AED" w:rsidRPr="00DB7E02" w14:paraId="18EB0989" w14:textId="77777777" w:rsidTr="005669E7">
        <w:trPr>
          <w:trHeight w:val="144"/>
          <w:jc w:val="center"/>
        </w:trPr>
        <w:tc>
          <w:tcPr>
            <w:tcW w:w="2355" w:type="dxa"/>
            <w:tcBorders>
              <w:top w:val="single" w:sz="4" w:space="0" w:color="auto"/>
            </w:tcBorders>
            <w:shd w:val="clear" w:color="auto" w:fill="auto"/>
            <w:noWrap/>
            <w:vAlign w:val="bottom"/>
          </w:tcPr>
          <w:p w14:paraId="53988333" w14:textId="7E87A4A8" w:rsidR="00534AED" w:rsidRPr="00DB7E02" w:rsidRDefault="00534AED" w:rsidP="005669E7">
            <w:pPr>
              <w:keepNext/>
              <w:widowControl w:val="0"/>
              <w:rPr>
                <w:b/>
                <w:bCs/>
                <w:i/>
                <w:color w:val="000000"/>
                <w:sz w:val="20"/>
              </w:rPr>
            </w:pPr>
            <w:r>
              <w:rPr>
                <w:b/>
                <w:bCs/>
                <w:i/>
                <w:color w:val="000000"/>
                <w:sz w:val="20"/>
              </w:rPr>
              <w:t>Model 5</w:t>
            </w:r>
          </w:p>
        </w:tc>
        <w:tc>
          <w:tcPr>
            <w:tcW w:w="1620" w:type="dxa"/>
            <w:gridSpan w:val="2"/>
            <w:tcBorders>
              <w:top w:val="single" w:sz="4" w:space="0" w:color="auto"/>
            </w:tcBorders>
            <w:shd w:val="clear" w:color="auto" w:fill="auto"/>
            <w:noWrap/>
            <w:vAlign w:val="bottom"/>
          </w:tcPr>
          <w:p w14:paraId="1CEE1093"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73FE9118"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081140AE" w14:textId="77777777" w:rsidR="00534AED" w:rsidRPr="00DB7E02" w:rsidRDefault="00534AED" w:rsidP="005669E7">
            <w:pPr>
              <w:keepNext/>
              <w:widowControl w:val="0"/>
              <w:jc w:val="center"/>
              <w:rPr>
                <w:i/>
                <w:color w:val="000000"/>
                <w:sz w:val="20"/>
              </w:rPr>
            </w:pPr>
          </w:p>
        </w:tc>
      </w:tr>
      <w:tr w:rsidR="00534AED" w:rsidRPr="00DB7E02" w14:paraId="02A85464" w14:textId="77777777" w:rsidTr="005669E7">
        <w:trPr>
          <w:trHeight w:val="144"/>
          <w:jc w:val="center"/>
        </w:trPr>
        <w:tc>
          <w:tcPr>
            <w:tcW w:w="2355" w:type="dxa"/>
            <w:shd w:val="clear" w:color="auto" w:fill="auto"/>
            <w:noWrap/>
            <w:vAlign w:val="bottom"/>
            <w:hideMark/>
          </w:tcPr>
          <w:p w14:paraId="0BD99AB3" w14:textId="77777777" w:rsidR="00534AED" w:rsidRPr="00DB7E02" w:rsidRDefault="00534AED" w:rsidP="005669E7">
            <w:pPr>
              <w:keepNext/>
              <w:widowControl w:val="0"/>
              <w:rPr>
                <w:bCs/>
                <w:color w:val="000000"/>
                <w:sz w:val="20"/>
              </w:rPr>
            </w:pPr>
            <w:r w:rsidRPr="00DB7E02">
              <w:rPr>
                <w:bCs/>
                <w:color w:val="000000"/>
                <w:sz w:val="20"/>
              </w:rPr>
              <w:t>Transit Access</w:t>
            </w:r>
          </w:p>
        </w:tc>
        <w:tc>
          <w:tcPr>
            <w:tcW w:w="1620" w:type="dxa"/>
            <w:gridSpan w:val="2"/>
            <w:shd w:val="clear" w:color="auto" w:fill="auto"/>
            <w:noWrap/>
            <w:vAlign w:val="bottom"/>
            <w:hideMark/>
          </w:tcPr>
          <w:p w14:paraId="361074E8" w14:textId="77777777" w:rsidR="00534AED" w:rsidRPr="00DB7E02" w:rsidRDefault="00534AED" w:rsidP="005669E7">
            <w:pPr>
              <w:keepNext/>
              <w:widowControl w:val="0"/>
              <w:jc w:val="center"/>
              <w:rPr>
                <w:bCs/>
                <w:color w:val="000000"/>
                <w:sz w:val="20"/>
              </w:rPr>
            </w:pPr>
            <w:r w:rsidRPr="00DB7E02">
              <w:rPr>
                <w:bCs/>
                <w:color w:val="000000"/>
                <w:sz w:val="20"/>
              </w:rPr>
              <w:t>0.621</w:t>
            </w:r>
          </w:p>
        </w:tc>
        <w:tc>
          <w:tcPr>
            <w:tcW w:w="1620" w:type="dxa"/>
            <w:shd w:val="clear" w:color="auto" w:fill="auto"/>
            <w:noWrap/>
            <w:vAlign w:val="bottom"/>
            <w:hideMark/>
          </w:tcPr>
          <w:p w14:paraId="3061C4BE"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31C58C69" w14:textId="77777777" w:rsidR="00534AED" w:rsidRPr="00DB7E02" w:rsidRDefault="00534AED" w:rsidP="005669E7">
            <w:pPr>
              <w:keepNext/>
              <w:widowControl w:val="0"/>
              <w:jc w:val="center"/>
              <w:rPr>
                <w:color w:val="000000"/>
                <w:sz w:val="20"/>
              </w:rPr>
            </w:pPr>
            <w:r w:rsidRPr="00DB7E02">
              <w:rPr>
                <w:color w:val="000000"/>
                <w:sz w:val="20"/>
              </w:rPr>
              <w:t>0.083</w:t>
            </w:r>
          </w:p>
        </w:tc>
      </w:tr>
      <w:tr w:rsidR="00534AED" w:rsidRPr="00DB7E02" w14:paraId="04F24BB2" w14:textId="77777777" w:rsidTr="005669E7">
        <w:trPr>
          <w:trHeight w:val="144"/>
          <w:jc w:val="center"/>
        </w:trPr>
        <w:tc>
          <w:tcPr>
            <w:tcW w:w="2355" w:type="dxa"/>
            <w:tcBorders>
              <w:bottom w:val="single" w:sz="4" w:space="0" w:color="auto"/>
            </w:tcBorders>
            <w:shd w:val="clear" w:color="auto" w:fill="auto"/>
            <w:noWrap/>
            <w:vAlign w:val="bottom"/>
            <w:hideMark/>
          </w:tcPr>
          <w:p w14:paraId="0EBA354E"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189BB4ED" w14:textId="77777777" w:rsidR="00534AED" w:rsidRPr="00DB7E02" w:rsidRDefault="00534AED" w:rsidP="005669E7">
            <w:pPr>
              <w:keepNext/>
              <w:widowControl w:val="0"/>
              <w:jc w:val="center"/>
              <w:rPr>
                <w:color w:val="000000"/>
                <w:sz w:val="20"/>
              </w:rPr>
            </w:pPr>
            <w:r w:rsidRPr="00DB7E02">
              <w:rPr>
                <w:color w:val="000000"/>
                <w:sz w:val="20"/>
              </w:rPr>
              <w:t>-3.386</w:t>
            </w:r>
          </w:p>
        </w:tc>
        <w:tc>
          <w:tcPr>
            <w:tcW w:w="1620" w:type="dxa"/>
            <w:tcBorders>
              <w:bottom w:val="single" w:sz="4" w:space="0" w:color="auto"/>
            </w:tcBorders>
            <w:shd w:val="clear" w:color="auto" w:fill="auto"/>
            <w:noWrap/>
            <w:vAlign w:val="bottom"/>
            <w:hideMark/>
          </w:tcPr>
          <w:p w14:paraId="2878AC6F"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387BEAFA" w14:textId="77777777" w:rsidR="00534AED" w:rsidRPr="00DB7E02" w:rsidRDefault="00534AED" w:rsidP="005669E7">
            <w:pPr>
              <w:keepNext/>
              <w:widowControl w:val="0"/>
              <w:jc w:val="center"/>
              <w:rPr>
                <w:color w:val="000000"/>
                <w:sz w:val="20"/>
              </w:rPr>
            </w:pPr>
          </w:p>
        </w:tc>
      </w:tr>
      <w:tr w:rsidR="00534AED" w:rsidRPr="00DB7E02" w14:paraId="311E492A" w14:textId="77777777" w:rsidTr="005669E7">
        <w:trPr>
          <w:trHeight w:val="144"/>
          <w:jc w:val="center"/>
        </w:trPr>
        <w:tc>
          <w:tcPr>
            <w:tcW w:w="2355" w:type="dxa"/>
            <w:tcBorders>
              <w:top w:val="single" w:sz="4" w:space="0" w:color="auto"/>
            </w:tcBorders>
            <w:shd w:val="clear" w:color="auto" w:fill="auto"/>
            <w:noWrap/>
            <w:vAlign w:val="bottom"/>
          </w:tcPr>
          <w:p w14:paraId="5E4E9B18" w14:textId="3B1B16A1" w:rsidR="00534AED" w:rsidRPr="00DB7E02" w:rsidRDefault="00534AED" w:rsidP="005669E7">
            <w:pPr>
              <w:keepNext/>
              <w:widowControl w:val="0"/>
              <w:rPr>
                <w:b/>
                <w:bCs/>
                <w:i/>
                <w:color w:val="000000"/>
                <w:sz w:val="20"/>
              </w:rPr>
            </w:pPr>
            <w:r>
              <w:rPr>
                <w:b/>
                <w:bCs/>
                <w:i/>
                <w:color w:val="000000"/>
                <w:sz w:val="20"/>
              </w:rPr>
              <w:t>Model 6</w:t>
            </w:r>
          </w:p>
        </w:tc>
        <w:tc>
          <w:tcPr>
            <w:tcW w:w="1620" w:type="dxa"/>
            <w:gridSpan w:val="2"/>
            <w:tcBorders>
              <w:top w:val="single" w:sz="4" w:space="0" w:color="auto"/>
            </w:tcBorders>
            <w:shd w:val="clear" w:color="auto" w:fill="auto"/>
            <w:noWrap/>
            <w:vAlign w:val="bottom"/>
          </w:tcPr>
          <w:p w14:paraId="08A0C0BD" w14:textId="77777777" w:rsidR="00534AED" w:rsidRPr="00DB7E02" w:rsidRDefault="00534AED" w:rsidP="005669E7">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1A0EBE0C" w14:textId="77777777" w:rsidR="00534AED" w:rsidRPr="00DB7E02" w:rsidRDefault="00534AED" w:rsidP="005669E7">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429D8C5B" w14:textId="77777777" w:rsidR="00534AED" w:rsidRPr="00DB7E02" w:rsidRDefault="00534AED" w:rsidP="005669E7">
            <w:pPr>
              <w:keepNext/>
              <w:widowControl w:val="0"/>
              <w:jc w:val="center"/>
              <w:rPr>
                <w:i/>
                <w:color w:val="000000"/>
                <w:sz w:val="20"/>
              </w:rPr>
            </w:pPr>
          </w:p>
        </w:tc>
      </w:tr>
      <w:tr w:rsidR="00534AED" w:rsidRPr="00DB7E02" w14:paraId="7C74B178" w14:textId="77777777" w:rsidTr="005669E7">
        <w:trPr>
          <w:trHeight w:val="144"/>
          <w:jc w:val="center"/>
        </w:trPr>
        <w:tc>
          <w:tcPr>
            <w:tcW w:w="2355" w:type="dxa"/>
            <w:shd w:val="clear" w:color="auto" w:fill="auto"/>
            <w:noWrap/>
            <w:vAlign w:val="bottom"/>
            <w:hideMark/>
          </w:tcPr>
          <w:p w14:paraId="71E99C62" w14:textId="77777777" w:rsidR="00534AED" w:rsidRPr="00DB7E02" w:rsidRDefault="00534AED" w:rsidP="005669E7">
            <w:pPr>
              <w:keepNext/>
              <w:widowControl w:val="0"/>
              <w:rPr>
                <w:bCs/>
                <w:color w:val="000000"/>
                <w:sz w:val="20"/>
              </w:rPr>
            </w:pPr>
            <w:r w:rsidRPr="00DB7E02">
              <w:rPr>
                <w:bCs/>
                <w:color w:val="000000"/>
                <w:sz w:val="20"/>
              </w:rPr>
              <w:t>ULI Density</w:t>
            </w:r>
          </w:p>
        </w:tc>
        <w:tc>
          <w:tcPr>
            <w:tcW w:w="1620" w:type="dxa"/>
            <w:gridSpan w:val="2"/>
            <w:shd w:val="clear" w:color="auto" w:fill="auto"/>
            <w:noWrap/>
            <w:vAlign w:val="bottom"/>
            <w:hideMark/>
          </w:tcPr>
          <w:p w14:paraId="2A214A6C" w14:textId="77777777" w:rsidR="00534AED" w:rsidRPr="00DB7E02" w:rsidRDefault="00534AED" w:rsidP="005669E7">
            <w:pPr>
              <w:keepNext/>
              <w:widowControl w:val="0"/>
              <w:jc w:val="center"/>
              <w:rPr>
                <w:bCs/>
                <w:color w:val="000000"/>
                <w:sz w:val="20"/>
              </w:rPr>
            </w:pPr>
            <w:r w:rsidRPr="00DB7E02">
              <w:rPr>
                <w:bCs/>
                <w:color w:val="000000"/>
                <w:sz w:val="20"/>
              </w:rPr>
              <w:t>0.549</w:t>
            </w:r>
          </w:p>
        </w:tc>
        <w:tc>
          <w:tcPr>
            <w:tcW w:w="1620" w:type="dxa"/>
            <w:shd w:val="clear" w:color="auto" w:fill="auto"/>
            <w:noWrap/>
            <w:vAlign w:val="bottom"/>
            <w:hideMark/>
          </w:tcPr>
          <w:p w14:paraId="5A30DD96" w14:textId="77777777" w:rsidR="00534AED" w:rsidRPr="00DB7E02" w:rsidRDefault="00534AED" w:rsidP="005669E7">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1FB1A0DB" w14:textId="77777777" w:rsidR="00534AED" w:rsidRPr="00DB7E02" w:rsidRDefault="00534AED" w:rsidP="005669E7">
            <w:pPr>
              <w:keepNext/>
              <w:widowControl w:val="0"/>
              <w:jc w:val="center"/>
              <w:rPr>
                <w:color w:val="000000"/>
                <w:sz w:val="20"/>
              </w:rPr>
            </w:pPr>
            <w:r w:rsidRPr="00DB7E02">
              <w:rPr>
                <w:color w:val="000000"/>
                <w:sz w:val="20"/>
              </w:rPr>
              <w:t>0.073</w:t>
            </w:r>
          </w:p>
        </w:tc>
      </w:tr>
      <w:tr w:rsidR="00534AED" w:rsidRPr="00DB7E02" w14:paraId="25FE7CA0" w14:textId="77777777" w:rsidTr="005669E7">
        <w:trPr>
          <w:trHeight w:val="144"/>
          <w:jc w:val="center"/>
        </w:trPr>
        <w:tc>
          <w:tcPr>
            <w:tcW w:w="2355" w:type="dxa"/>
            <w:tcBorders>
              <w:bottom w:val="single" w:sz="4" w:space="0" w:color="auto"/>
            </w:tcBorders>
            <w:shd w:val="clear" w:color="auto" w:fill="auto"/>
            <w:noWrap/>
            <w:vAlign w:val="bottom"/>
            <w:hideMark/>
          </w:tcPr>
          <w:p w14:paraId="23C9467A" w14:textId="77777777" w:rsidR="00534AED" w:rsidRPr="00DB7E02" w:rsidRDefault="00534AED" w:rsidP="005669E7">
            <w:pPr>
              <w:keepNext/>
              <w:widowControl w:val="0"/>
              <w:rPr>
                <w:color w:val="000000"/>
                <w:sz w:val="20"/>
              </w:rPr>
            </w:pPr>
            <w:r w:rsidRPr="00DB7E02">
              <w:rPr>
                <w:color w:val="000000"/>
                <w:sz w:val="20"/>
              </w:rPr>
              <w:t>Constant</w:t>
            </w:r>
          </w:p>
        </w:tc>
        <w:tc>
          <w:tcPr>
            <w:tcW w:w="1620" w:type="dxa"/>
            <w:gridSpan w:val="2"/>
            <w:tcBorders>
              <w:bottom w:val="single" w:sz="4" w:space="0" w:color="auto"/>
            </w:tcBorders>
            <w:shd w:val="clear" w:color="auto" w:fill="auto"/>
            <w:noWrap/>
            <w:vAlign w:val="bottom"/>
            <w:hideMark/>
          </w:tcPr>
          <w:p w14:paraId="7BA16FC9" w14:textId="77777777" w:rsidR="00534AED" w:rsidRPr="00DB7E02" w:rsidRDefault="00534AED" w:rsidP="005669E7">
            <w:pPr>
              <w:keepNext/>
              <w:widowControl w:val="0"/>
              <w:jc w:val="center"/>
              <w:rPr>
                <w:color w:val="000000"/>
                <w:sz w:val="20"/>
              </w:rPr>
            </w:pPr>
            <w:r w:rsidRPr="00DB7E02">
              <w:rPr>
                <w:color w:val="000000"/>
                <w:sz w:val="20"/>
              </w:rPr>
              <w:t>-3.204</w:t>
            </w:r>
          </w:p>
        </w:tc>
        <w:tc>
          <w:tcPr>
            <w:tcW w:w="1620" w:type="dxa"/>
            <w:tcBorders>
              <w:bottom w:val="single" w:sz="4" w:space="0" w:color="auto"/>
            </w:tcBorders>
            <w:shd w:val="clear" w:color="auto" w:fill="auto"/>
            <w:noWrap/>
            <w:vAlign w:val="bottom"/>
            <w:hideMark/>
          </w:tcPr>
          <w:p w14:paraId="7B4A7E6F" w14:textId="77777777" w:rsidR="00534AED" w:rsidRPr="00DB7E02" w:rsidRDefault="00534AED" w:rsidP="005669E7">
            <w:pPr>
              <w:keepNext/>
              <w:widowControl w:val="0"/>
              <w:jc w:val="center"/>
              <w:rPr>
                <w:color w:val="000000"/>
                <w:sz w:val="20"/>
              </w:rPr>
            </w:pPr>
            <w:r w:rsidRPr="00DB7E02">
              <w:rPr>
                <w:color w:val="000000"/>
                <w:sz w:val="20"/>
              </w:rPr>
              <w:t>0.00</w:t>
            </w:r>
          </w:p>
        </w:tc>
        <w:tc>
          <w:tcPr>
            <w:tcW w:w="1530" w:type="dxa"/>
            <w:vMerge/>
            <w:tcBorders>
              <w:bottom w:val="single" w:sz="4" w:space="0" w:color="auto"/>
            </w:tcBorders>
            <w:shd w:val="clear" w:color="auto" w:fill="auto"/>
            <w:vAlign w:val="center"/>
            <w:hideMark/>
          </w:tcPr>
          <w:p w14:paraId="73E15172" w14:textId="77777777" w:rsidR="00534AED" w:rsidRPr="00DB7E02" w:rsidRDefault="00534AED" w:rsidP="005669E7">
            <w:pPr>
              <w:keepNext/>
              <w:widowControl w:val="0"/>
              <w:rPr>
                <w:color w:val="000000"/>
                <w:sz w:val="20"/>
              </w:rPr>
            </w:pPr>
          </w:p>
        </w:tc>
      </w:tr>
      <w:tr w:rsidR="00534AED" w:rsidRPr="00DB7E02" w14:paraId="24FB898C" w14:textId="77777777" w:rsidTr="005669E7">
        <w:trPr>
          <w:trHeight w:val="144"/>
          <w:jc w:val="center"/>
        </w:trPr>
        <w:tc>
          <w:tcPr>
            <w:tcW w:w="7125" w:type="dxa"/>
            <w:gridSpan w:val="5"/>
            <w:tcBorders>
              <w:top w:val="single" w:sz="4" w:space="0" w:color="auto"/>
              <w:bottom w:val="single" w:sz="4" w:space="0" w:color="auto"/>
            </w:tcBorders>
            <w:shd w:val="clear" w:color="auto" w:fill="auto"/>
            <w:noWrap/>
            <w:vAlign w:val="bottom"/>
          </w:tcPr>
          <w:p w14:paraId="2EFFC37E" w14:textId="77777777" w:rsidR="00534AED" w:rsidRPr="00DB7E02" w:rsidRDefault="00534AED" w:rsidP="005669E7">
            <w:pPr>
              <w:keepNext/>
              <w:widowControl w:val="0"/>
              <w:jc w:val="center"/>
              <w:rPr>
                <w:color w:val="000000"/>
                <w:sz w:val="20"/>
              </w:rPr>
            </w:pPr>
            <w:r w:rsidRPr="00DB7E02">
              <w:rPr>
                <w:b/>
                <w:bCs/>
                <w:color w:val="000000"/>
                <w:sz w:val="20"/>
              </w:rPr>
              <w:t>Data used for all models</w:t>
            </w:r>
          </w:p>
        </w:tc>
      </w:tr>
      <w:tr w:rsidR="00534AED" w:rsidRPr="00DB7E02" w14:paraId="3DF6D822" w14:textId="77777777" w:rsidTr="005669E7">
        <w:trPr>
          <w:trHeight w:val="144"/>
          <w:jc w:val="center"/>
        </w:trPr>
        <w:tc>
          <w:tcPr>
            <w:tcW w:w="2445" w:type="dxa"/>
            <w:gridSpan w:val="2"/>
            <w:tcBorders>
              <w:top w:val="single" w:sz="4" w:space="0" w:color="auto"/>
            </w:tcBorders>
            <w:shd w:val="clear" w:color="auto" w:fill="auto"/>
            <w:noWrap/>
            <w:vAlign w:val="bottom"/>
            <w:hideMark/>
          </w:tcPr>
          <w:p w14:paraId="60D8925B" w14:textId="77777777" w:rsidR="00534AED" w:rsidRPr="00DB7E02" w:rsidRDefault="00534AED" w:rsidP="005669E7">
            <w:pPr>
              <w:keepNext/>
              <w:widowControl w:val="0"/>
              <w:rPr>
                <w:bCs/>
                <w:color w:val="000000"/>
                <w:sz w:val="20"/>
              </w:rPr>
            </w:pPr>
            <w:r w:rsidRPr="00DB7E02">
              <w:rPr>
                <w:bCs/>
                <w:color w:val="000000"/>
                <w:sz w:val="20"/>
              </w:rPr>
              <w:t>Trips (n)</w:t>
            </w:r>
          </w:p>
        </w:tc>
        <w:tc>
          <w:tcPr>
            <w:tcW w:w="4680" w:type="dxa"/>
            <w:gridSpan w:val="3"/>
            <w:tcBorders>
              <w:top w:val="single" w:sz="4" w:space="0" w:color="auto"/>
            </w:tcBorders>
            <w:shd w:val="clear" w:color="auto" w:fill="auto"/>
            <w:noWrap/>
            <w:vAlign w:val="bottom"/>
            <w:hideMark/>
          </w:tcPr>
          <w:p w14:paraId="6F73865F" w14:textId="77777777" w:rsidR="00534AED" w:rsidRPr="00DB7E02" w:rsidRDefault="00534AED" w:rsidP="005669E7">
            <w:pPr>
              <w:keepNext/>
              <w:widowControl w:val="0"/>
              <w:ind w:right="3544"/>
              <w:jc w:val="right"/>
              <w:rPr>
                <w:bCs/>
                <w:color w:val="000000"/>
                <w:sz w:val="20"/>
              </w:rPr>
            </w:pPr>
            <w:r w:rsidRPr="00DB7E02">
              <w:rPr>
                <w:bCs/>
                <w:color w:val="000000"/>
                <w:sz w:val="20"/>
              </w:rPr>
              <w:t>36,463</w:t>
            </w:r>
          </w:p>
        </w:tc>
      </w:tr>
      <w:tr w:rsidR="00534AED" w:rsidRPr="00DB7E02" w14:paraId="388C80C8" w14:textId="77777777" w:rsidTr="005669E7">
        <w:trPr>
          <w:trHeight w:val="144"/>
          <w:jc w:val="center"/>
        </w:trPr>
        <w:tc>
          <w:tcPr>
            <w:tcW w:w="2445" w:type="dxa"/>
            <w:gridSpan w:val="2"/>
            <w:shd w:val="clear" w:color="auto" w:fill="auto"/>
            <w:noWrap/>
            <w:vAlign w:val="bottom"/>
            <w:hideMark/>
          </w:tcPr>
          <w:p w14:paraId="41CE604D" w14:textId="77777777" w:rsidR="00534AED" w:rsidRPr="00DB7E02" w:rsidRDefault="00534AED" w:rsidP="005669E7">
            <w:pPr>
              <w:keepNext/>
              <w:widowControl w:val="0"/>
              <w:rPr>
                <w:color w:val="000000"/>
                <w:sz w:val="20"/>
              </w:rPr>
            </w:pPr>
            <w:r w:rsidRPr="00DB7E02">
              <w:rPr>
                <w:color w:val="000000"/>
                <w:sz w:val="20"/>
              </w:rPr>
              <w:t>Walk</w:t>
            </w:r>
          </w:p>
        </w:tc>
        <w:tc>
          <w:tcPr>
            <w:tcW w:w="4680" w:type="dxa"/>
            <w:gridSpan w:val="3"/>
            <w:shd w:val="clear" w:color="auto" w:fill="auto"/>
            <w:noWrap/>
            <w:vAlign w:val="bottom"/>
            <w:hideMark/>
          </w:tcPr>
          <w:p w14:paraId="25513C8C" w14:textId="77777777" w:rsidR="00534AED" w:rsidRPr="00DB7E02" w:rsidRDefault="00534AED" w:rsidP="005669E7">
            <w:pPr>
              <w:keepNext/>
              <w:widowControl w:val="0"/>
              <w:ind w:right="3544"/>
              <w:jc w:val="right"/>
              <w:rPr>
                <w:color w:val="000000"/>
                <w:sz w:val="20"/>
              </w:rPr>
            </w:pPr>
            <w:r w:rsidRPr="00DB7E02">
              <w:rPr>
                <w:color w:val="000000"/>
                <w:sz w:val="20"/>
              </w:rPr>
              <w:t>3,560</w:t>
            </w:r>
          </w:p>
        </w:tc>
      </w:tr>
      <w:tr w:rsidR="00534AED" w:rsidRPr="00DB7E02" w14:paraId="2903C0B8" w14:textId="77777777" w:rsidTr="005669E7">
        <w:trPr>
          <w:trHeight w:val="144"/>
          <w:jc w:val="center"/>
        </w:trPr>
        <w:tc>
          <w:tcPr>
            <w:tcW w:w="2445" w:type="dxa"/>
            <w:gridSpan w:val="2"/>
            <w:tcBorders>
              <w:bottom w:val="single" w:sz="4" w:space="0" w:color="auto"/>
            </w:tcBorders>
            <w:shd w:val="clear" w:color="auto" w:fill="auto"/>
            <w:noWrap/>
            <w:vAlign w:val="bottom"/>
            <w:hideMark/>
          </w:tcPr>
          <w:p w14:paraId="01353BCC" w14:textId="77777777" w:rsidR="00534AED" w:rsidRPr="00DB7E02" w:rsidRDefault="00534AED" w:rsidP="005669E7">
            <w:pPr>
              <w:rPr>
                <w:color w:val="000000"/>
                <w:sz w:val="20"/>
              </w:rPr>
            </w:pPr>
            <w:r w:rsidRPr="00DB7E02">
              <w:rPr>
                <w:color w:val="000000"/>
                <w:sz w:val="20"/>
              </w:rPr>
              <w:t>Not Walk</w:t>
            </w:r>
          </w:p>
        </w:tc>
        <w:tc>
          <w:tcPr>
            <w:tcW w:w="4680" w:type="dxa"/>
            <w:gridSpan w:val="3"/>
            <w:tcBorders>
              <w:bottom w:val="single" w:sz="4" w:space="0" w:color="auto"/>
            </w:tcBorders>
            <w:shd w:val="clear" w:color="auto" w:fill="auto"/>
            <w:noWrap/>
            <w:vAlign w:val="bottom"/>
            <w:hideMark/>
          </w:tcPr>
          <w:p w14:paraId="7243AAFE" w14:textId="77777777" w:rsidR="00534AED" w:rsidRPr="00DB7E02" w:rsidRDefault="00534AED" w:rsidP="005669E7">
            <w:pPr>
              <w:ind w:right="3544"/>
              <w:jc w:val="right"/>
              <w:rPr>
                <w:color w:val="000000"/>
                <w:sz w:val="20"/>
              </w:rPr>
            </w:pPr>
            <w:r w:rsidRPr="00DB7E02">
              <w:rPr>
                <w:color w:val="000000"/>
                <w:sz w:val="20"/>
              </w:rPr>
              <w:t>32,903</w:t>
            </w:r>
          </w:p>
        </w:tc>
      </w:tr>
    </w:tbl>
    <w:p w14:paraId="27906760" w14:textId="77777777" w:rsidR="00534AED" w:rsidRDefault="00534AED" w:rsidP="00771236">
      <w:pPr>
        <w:pStyle w:val="BodyText"/>
      </w:pPr>
    </w:p>
    <w:p w14:paraId="55B5AE1A" w14:textId="77777777" w:rsidR="00EF2C69" w:rsidRDefault="00EF2C69" w:rsidP="00EF2C69">
      <w:pPr>
        <w:pStyle w:val="BodyText"/>
        <w:keepNext/>
        <w:jc w:val="center"/>
      </w:pPr>
      <w:r>
        <w:rPr>
          <w:noProof/>
        </w:rPr>
        <w:lastRenderedPageBreak/>
        <w:drawing>
          <wp:inline distT="0" distB="0" distL="0" distR="0" wp14:anchorId="07725A11" wp14:editId="6A2F6931">
            <wp:extent cx="5049078" cy="390318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7841" cy="3917685"/>
                    </a:xfrm>
                    <a:prstGeom prst="rect">
                      <a:avLst/>
                    </a:prstGeom>
                    <a:noFill/>
                  </pic:spPr>
                </pic:pic>
              </a:graphicData>
            </a:graphic>
          </wp:inline>
        </w:drawing>
      </w:r>
    </w:p>
    <w:p w14:paraId="1A20A0B3" w14:textId="4D9FC9E4" w:rsidR="00EF2C69" w:rsidRPr="00FA1EDF" w:rsidRDefault="00EF2C69" w:rsidP="00FA1EDF">
      <w:pPr>
        <w:pStyle w:val="Caption"/>
      </w:pPr>
      <w:bookmarkStart w:id="13" w:name="_Ref513458620"/>
      <w:bookmarkStart w:id="14" w:name="_Toc2003578"/>
      <w:r w:rsidRPr="00FA1EDF">
        <w:t xml:space="preserve">Figure </w:t>
      </w:r>
      <w:fldSimple w:instr=" SEQ Figure \* ARABIC ">
        <w:r w:rsidR="00721680">
          <w:rPr>
            <w:noProof/>
          </w:rPr>
          <w:t>1</w:t>
        </w:r>
      </w:fldSimple>
      <w:bookmarkEnd w:id="13"/>
      <w:r w:rsidRPr="00FA1EDF">
        <w:t xml:space="preserve"> Regional Map of </w:t>
      </w:r>
      <w:r w:rsidR="003C09CB">
        <w:t xml:space="preserve">the Built Environment Index </w:t>
      </w:r>
      <w:r w:rsidRPr="00FA1EDF">
        <w:t>PIE</w:t>
      </w:r>
      <w:r w:rsidRPr="00FA1EDF">
        <w:rPr>
          <w:vertAlign w:val="subscript"/>
        </w:rPr>
        <w:t>0</w:t>
      </w:r>
      <w:bookmarkEnd w:id="14"/>
      <w:r w:rsidRPr="00FA1EDF">
        <w:t xml:space="preserve"> </w:t>
      </w:r>
    </w:p>
    <w:p w14:paraId="42DCDCB2" w14:textId="3E5E7993" w:rsidR="009B651A" w:rsidRDefault="00F75D0F" w:rsidP="00D1654A">
      <w:pPr>
        <w:pStyle w:val="Heading1"/>
      </w:pPr>
      <w:bookmarkStart w:id="15" w:name="_Ref511839095"/>
      <w:bookmarkStart w:id="16" w:name="_Ref511839103"/>
      <w:bookmarkStart w:id="17" w:name="_Ref511839146"/>
      <w:bookmarkStart w:id="18" w:name="_Ref511842358"/>
      <w:bookmarkStart w:id="19" w:name="_Ref511998887"/>
      <w:bookmarkStart w:id="20" w:name="_Ref511998892"/>
      <w:bookmarkStart w:id="21" w:name="_Toc2003600"/>
      <w:r>
        <w:t xml:space="preserve">Data and MEthods for </w:t>
      </w:r>
      <w:r w:rsidR="009B651A">
        <w:t>NEW PIE (</w:t>
      </w:r>
      <w:r w:rsidR="009B651A" w:rsidRPr="001D10C5">
        <w:rPr>
          <w:noProof/>
        </w:rPr>
        <w:t>PIE</w:t>
      </w:r>
      <w:r w:rsidR="009B651A" w:rsidRPr="001D10C5">
        <w:rPr>
          <w:noProof/>
          <w:vertAlign w:val="subscript"/>
        </w:rPr>
        <w:t>bg</w:t>
      </w:r>
      <w:r w:rsidR="009B651A">
        <w:t>)</w:t>
      </w:r>
      <w:bookmarkEnd w:id="15"/>
      <w:bookmarkEnd w:id="16"/>
      <w:bookmarkEnd w:id="17"/>
      <w:bookmarkEnd w:id="18"/>
      <w:bookmarkEnd w:id="19"/>
      <w:bookmarkEnd w:id="20"/>
      <w:bookmarkEnd w:id="21"/>
      <w:r w:rsidR="007D1CD2">
        <w:t xml:space="preserve"> </w:t>
      </w:r>
    </w:p>
    <w:p w14:paraId="78DDE19F" w14:textId="00511825" w:rsidR="009B651A" w:rsidRDefault="009B651A" w:rsidP="00771236">
      <w:pPr>
        <w:pStyle w:val="BodyText"/>
      </w:pPr>
      <w:r>
        <w:t xml:space="preserve">Our objective at large </w:t>
      </w:r>
      <w:r w:rsidR="00207414">
        <w:t>wa</w:t>
      </w:r>
      <w:r>
        <w:t>s to re</w:t>
      </w:r>
      <w:r w:rsidR="00FA41B7">
        <w:t>-</w:t>
      </w:r>
      <w:r>
        <w:t xml:space="preserve">create pedestrian-specific measures of the built environment at a </w:t>
      </w:r>
      <w:r w:rsidR="009D5AFC" w:rsidRPr="005669E7">
        <w:rPr>
          <w:noProof/>
        </w:rPr>
        <w:t>co</w:t>
      </w:r>
      <w:r w:rsidR="005669E7">
        <w:rPr>
          <w:noProof/>
        </w:rPr>
        <w:t>a</w:t>
      </w:r>
      <w:r w:rsidR="009D5AFC" w:rsidRPr="005669E7">
        <w:rPr>
          <w:noProof/>
        </w:rPr>
        <w:t>rse</w:t>
      </w:r>
      <w:r w:rsidR="001D10C5">
        <w:rPr>
          <w:noProof/>
        </w:rPr>
        <w:t>r</w:t>
      </w:r>
      <w:r w:rsidR="009D5AFC">
        <w:t xml:space="preserve"> </w:t>
      </w:r>
      <w:r>
        <w:t>scale</w:t>
      </w:r>
      <w:r w:rsidR="00207414">
        <w:t xml:space="preserve"> (for the purpose of using more readily available data nation-wide)</w:t>
      </w:r>
      <w:r>
        <w:t>, compare them with PIE</w:t>
      </w:r>
      <w:r w:rsidRPr="002B1385">
        <w:rPr>
          <w:vertAlign w:val="subscript"/>
        </w:rPr>
        <w:t>0</w:t>
      </w:r>
      <w:r>
        <w:t xml:space="preserve">, and test whether their predictive capacity in models of walking mode choice </w:t>
      </w:r>
      <w:r w:rsidR="00F66F7A">
        <w:t xml:space="preserve">in </w:t>
      </w:r>
      <w:r w:rsidR="00332B6D">
        <w:t>Portland, OR</w:t>
      </w:r>
      <w:r w:rsidR="00F66F7A">
        <w:t>.</w:t>
      </w:r>
      <w:r>
        <w:t xml:space="preserve"> </w:t>
      </w:r>
    </w:p>
    <w:p w14:paraId="71993191" w14:textId="16D1EC83" w:rsidR="00207414" w:rsidRDefault="009B651A" w:rsidP="00ED624C">
      <w:pPr>
        <w:pStyle w:val="BodyText"/>
      </w:pPr>
      <w:r>
        <w:t xml:space="preserve">The extension to this methodology was to estimate a new index that we called </w:t>
      </w:r>
      <w:r w:rsidRPr="00A57C46">
        <w:t>PIE</w:t>
      </w:r>
      <w:r w:rsidRPr="00601568">
        <w:rPr>
          <w:vertAlign w:val="subscript"/>
        </w:rPr>
        <w:t>bg</w:t>
      </w:r>
      <w:r>
        <w:t xml:space="preserve">, </w:t>
      </w:r>
      <w:r w:rsidR="00207414">
        <w:t xml:space="preserve">named </w:t>
      </w:r>
      <w:r w:rsidR="00422181">
        <w:t>for the spatial</w:t>
      </w:r>
      <w:r>
        <w:t xml:space="preserve"> scale</w:t>
      </w:r>
      <w:r w:rsidR="00422181">
        <w:t xml:space="preserve"> of its construct: </w:t>
      </w:r>
      <w:r w:rsidR="00F66F7A">
        <w:t>The</w:t>
      </w:r>
      <w:r w:rsidR="00866B93">
        <w:t xml:space="preserve"> Census </w:t>
      </w:r>
      <w:r w:rsidR="00207414">
        <w:t>b</w:t>
      </w:r>
      <w:r w:rsidR="00866B93">
        <w:t xml:space="preserve">lock </w:t>
      </w:r>
      <w:r w:rsidR="00207414">
        <w:t>g</w:t>
      </w:r>
      <w:r>
        <w:t xml:space="preserve">roup </w:t>
      </w:r>
      <w:r w:rsidR="00207414">
        <w:t>geographic unit</w:t>
      </w:r>
      <w:r>
        <w:t>.</w:t>
      </w:r>
      <w:r w:rsidR="005407B7">
        <w:t xml:space="preserve"> There </w:t>
      </w:r>
      <w:r w:rsidR="00744CA2">
        <w:t>is</w:t>
      </w:r>
      <w:r w:rsidR="005407B7">
        <w:t xml:space="preserve"> a total of </w:t>
      </w:r>
      <w:r w:rsidR="005407B7" w:rsidRPr="005407B7">
        <w:t>1</w:t>
      </w:r>
      <w:r w:rsidR="005407B7">
        <w:t>,</w:t>
      </w:r>
      <w:r w:rsidR="005407B7" w:rsidRPr="005407B7">
        <w:t>324</w:t>
      </w:r>
      <w:r w:rsidR="005407B7">
        <w:t xml:space="preserve"> block groups with an average area of 11.4 </w:t>
      </w:r>
      <w:r w:rsidR="005407B7" w:rsidRPr="005407B7">
        <w:t>sq</w:t>
      </w:r>
      <w:r w:rsidR="005407B7">
        <w:t>.</w:t>
      </w:r>
      <w:r w:rsidR="005407B7" w:rsidRPr="005407B7">
        <w:t xml:space="preserve"> meters</w:t>
      </w:r>
      <w:r w:rsidR="005407B7">
        <w:t xml:space="preserve"> (SD = 111.1 sq. meters).</w:t>
      </w:r>
      <w:r>
        <w:t xml:space="preserve"> </w:t>
      </w:r>
      <w:r w:rsidR="00F66F7A">
        <w:fldChar w:fldCharType="begin"/>
      </w:r>
      <w:r w:rsidR="00F66F7A">
        <w:instrText xml:space="preserve"> REF _Ref511669394 \h </w:instrText>
      </w:r>
      <w:r w:rsidR="00F66F7A">
        <w:fldChar w:fldCharType="separate"/>
      </w:r>
      <w:r w:rsidR="00F66F7A">
        <w:t xml:space="preserve">Figure </w:t>
      </w:r>
      <w:r w:rsidR="00F66F7A">
        <w:rPr>
          <w:noProof/>
        </w:rPr>
        <w:t>2</w:t>
      </w:r>
      <w:r w:rsidR="00F66F7A">
        <w:fldChar w:fldCharType="end"/>
      </w:r>
      <w:r w:rsidR="00866B93">
        <w:t xml:space="preserve"> </w:t>
      </w:r>
      <w:r>
        <w:t>shows the difference</w:t>
      </w:r>
      <w:r w:rsidR="00866B93">
        <w:t xml:space="preserve"> between both units of analysis</w:t>
      </w:r>
      <w:r>
        <w:t>. The block group scale is similar to the traffic analysis zones (TAZ) commonly used in transportation planning methods. PIE</w:t>
      </w:r>
      <w:r w:rsidRPr="00601568">
        <w:rPr>
          <w:vertAlign w:val="subscript"/>
        </w:rPr>
        <w:t>bg</w:t>
      </w:r>
      <w:r w:rsidR="00866B93">
        <w:t xml:space="preserve"> was calibrated using an analog</w:t>
      </w:r>
      <w:r w:rsidR="00207414">
        <w:t>ous</w:t>
      </w:r>
      <w:r w:rsidR="00866B93">
        <w:t xml:space="preserve"> </w:t>
      </w:r>
      <w:r>
        <w:t>methodology as PIE</w:t>
      </w:r>
      <w:r w:rsidRPr="00601568">
        <w:rPr>
          <w:vertAlign w:val="subscript"/>
        </w:rPr>
        <w:t>0</w:t>
      </w:r>
      <w:r>
        <w:t>. One of our objectives was to test the loss of power of our models in changing the scale</w:t>
      </w:r>
      <w:r w:rsidR="00207414">
        <w:t xml:space="preserve"> and the data source</w:t>
      </w:r>
      <w:r>
        <w:t>, so we framed the PIE</w:t>
      </w:r>
      <w:r w:rsidRPr="00601568">
        <w:rPr>
          <w:vertAlign w:val="subscript"/>
        </w:rPr>
        <w:t>bg</w:t>
      </w:r>
      <w:r>
        <w:t xml:space="preserve"> score to </w:t>
      </w:r>
      <w:r w:rsidR="00207414">
        <w:t>be similarly constructed as</w:t>
      </w:r>
      <w:r>
        <w:t xml:space="preserve"> PIE</w:t>
      </w:r>
      <w:r w:rsidRPr="00601568">
        <w:rPr>
          <w:vertAlign w:val="subscript"/>
        </w:rPr>
        <w:t>0</w:t>
      </w:r>
      <w:r>
        <w:t xml:space="preserve">. </w:t>
      </w:r>
    </w:p>
    <w:p w14:paraId="2047990F" w14:textId="6F5C09DC" w:rsidR="00F66F7A" w:rsidRPr="008A758D" w:rsidRDefault="00BA4734" w:rsidP="00F66F7A">
      <w:pPr>
        <w:pStyle w:val="BodyText"/>
      </w:pPr>
      <w:r>
        <w:t>In</w:t>
      </w:r>
      <w:r w:rsidR="00207414">
        <w:t xml:space="preserve"> PIE</w:t>
      </w:r>
      <w:r>
        <w:rPr>
          <w:vertAlign w:val="subscript"/>
        </w:rPr>
        <w:t>0</w:t>
      </w:r>
      <w:r w:rsidR="00207414">
        <w:t xml:space="preserve"> </w:t>
      </w:r>
      <w:r w:rsidR="00866B93">
        <w:t xml:space="preserve">the built environment </w:t>
      </w:r>
      <w:r w:rsidR="00730ACB">
        <w:t xml:space="preserve">data were scaled using natural breaks and assigned </w:t>
      </w:r>
      <w:r>
        <w:t xml:space="preserve">discrete </w:t>
      </w:r>
      <w:r w:rsidR="00730ACB">
        <w:t>values between</w:t>
      </w:r>
      <w:r w:rsidR="00866B93">
        <w:t xml:space="preserve"> 1 and 5</w:t>
      </w:r>
      <w:r w:rsidR="00730ACB">
        <w:t xml:space="preserve">. </w:t>
      </w:r>
      <w:r w:rsidR="00D65461">
        <w:t>However, in PIE</w:t>
      </w:r>
      <w:r w:rsidR="00D65461" w:rsidRPr="00D65461">
        <w:rPr>
          <w:vertAlign w:val="subscript"/>
        </w:rPr>
        <w:t>bg</w:t>
      </w:r>
      <w:r w:rsidR="00D65461">
        <w:t>, we decided that</w:t>
      </w:r>
      <w:r w:rsidR="00F66F7A">
        <w:t xml:space="preserve"> this method</w:t>
      </w:r>
      <w:r w:rsidR="00D65461">
        <w:t xml:space="preserve"> </w:t>
      </w:r>
      <w:r w:rsidR="00F66F7A">
        <w:t>los</w:t>
      </w:r>
      <w:r>
        <w:t>e</w:t>
      </w:r>
      <w:r w:rsidR="00F66F7A">
        <w:t xml:space="preserve"> too much information</w:t>
      </w:r>
      <w:r>
        <w:t xml:space="preserve"> and the induce</w:t>
      </w:r>
      <w:r w:rsidR="00F66F7A">
        <w:t xml:space="preserve"> error could even </w:t>
      </w:r>
      <w:r>
        <w:t>be higher</w:t>
      </w:r>
      <w:r w:rsidR="00F66F7A">
        <w:t xml:space="preserve"> </w:t>
      </w:r>
      <w:r>
        <w:t>at the</w:t>
      </w:r>
      <w:r w:rsidR="00F66F7A">
        <w:t xml:space="preserve"> larger scale of </w:t>
      </w:r>
      <w:r w:rsidR="00C226F2">
        <w:t xml:space="preserve">the </w:t>
      </w:r>
      <w:r w:rsidR="00F66F7A" w:rsidRPr="001D10C5">
        <w:rPr>
          <w:noProof/>
        </w:rPr>
        <w:t>block</w:t>
      </w:r>
      <w:r w:rsidR="00F66F7A">
        <w:t xml:space="preserve"> group</w:t>
      </w:r>
      <w:r w:rsidR="00D65461">
        <w:t xml:space="preserve">, particularly when </w:t>
      </w:r>
      <w:r w:rsidR="00D65461">
        <w:lastRenderedPageBreak/>
        <w:t>using a block group scale and thus, continuous values were assigned</w:t>
      </w:r>
      <w:r w:rsidR="001D10C5">
        <w:t>.</w:t>
      </w:r>
      <w:r w:rsidR="00F66F7A">
        <w:t xml:space="preserve"> For that </w:t>
      </w:r>
      <w:r w:rsidR="00F66F7A" w:rsidRPr="00C226F2">
        <w:rPr>
          <w:noProof/>
        </w:rPr>
        <w:t>reason</w:t>
      </w:r>
      <w:r w:rsidR="00C226F2">
        <w:rPr>
          <w:noProof/>
        </w:rPr>
        <w:t>,</w:t>
      </w:r>
      <w:r w:rsidR="00F66F7A">
        <w:t xml:space="preserve"> we scaled the data to be between 1 and 5 </w:t>
      </w:r>
      <w:r w:rsidR="001D10C5">
        <w:t xml:space="preserve">using </w:t>
      </w:r>
      <w:r w:rsidR="00F66F7A">
        <w:t>continuous</w:t>
      </w:r>
      <w:r w:rsidR="001D10C5">
        <w:t xml:space="preserve"> breaks</w:t>
      </w:r>
      <w:r w:rsidR="00D65461">
        <w:t xml:space="preserve">. </w:t>
      </w:r>
      <w:r w:rsidR="00F66F7A" w:rsidRPr="008A758D">
        <w:t>This is done by using the following formula:</w:t>
      </w:r>
    </w:p>
    <w:p w14:paraId="75C7A43F" w14:textId="77777777" w:rsidR="00F66F7A" w:rsidRPr="008A758D" w:rsidRDefault="00983295" w:rsidP="00F66F7A">
      <w:pPr>
        <w:pStyle w:val="BodyText"/>
      </w:pPr>
      <m:oMathPara>
        <m:oMath>
          <m:sSub>
            <m:sSubPr>
              <m:ctrlPr>
                <w:rPr>
                  <w:rFonts w:ascii="Cambria Math" w:hAnsi="Cambria Math"/>
                  <w:i/>
                </w:rPr>
              </m:ctrlPr>
            </m:sSubPr>
            <m:e>
              <m:r>
                <w:rPr>
                  <w:rFonts w:ascii="Cambria Math" w:hAnsi="Cambria Math"/>
                </w:rPr>
                <m:t>z</m:t>
              </m:r>
            </m:e>
            <m:sub>
              <m:r>
                <w:rPr>
                  <w:rFonts w:ascii="Cambria Math" w:hAnsi="Cambria Math"/>
                </w:rPr>
                <m:t>new</m:t>
              </m:r>
            </m:sub>
          </m:sSub>
          <m:r>
            <w:rPr>
              <w:rFonts w:ascii="Cambria Math" w:hAnsi="Cambria Math"/>
            </w:rPr>
            <m:t>=</m:t>
          </m:r>
          <m:f>
            <m:fPr>
              <m:ctrlPr>
                <w:rPr>
                  <w:rFonts w:ascii="Cambria Math" w:hAnsi="Cambria Math"/>
                </w:rPr>
              </m:ctrlPr>
            </m:fPr>
            <m:num>
              <m:r>
                <m:rPr>
                  <m:sty m:val="p"/>
                </m:rPr>
                <w:rPr>
                  <w:rFonts w:ascii="Cambria Math" w:hAnsi="Cambria Math"/>
                </w:rPr>
                <m:t>5-1</m:t>
              </m:r>
            </m:num>
            <m:den>
              <m:r>
                <m:rPr>
                  <m:sty m:val="p"/>
                </m:rPr>
                <w:rPr>
                  <w:rFonts w:ascii="Cambria Math" w:hAnsi="Cambria Math"/>
                </w:rPr>
                <m:t>max⁡(Z)</m:t>
              </m:r>
              <m:r>
                <w:rPr>
                  <w:rFonts w:ascii="Cambria Math" w:hAnsi="Cambria Math"/>
                </w:rPr>
                <m:t>-</m:t>
              </m:r>
              <m:r>
                <m:rPr>
                  <m:sty m:val="p"/>
                </m:rPr>
                <w:rPr>
                  <w:rFonts w:ascii="Cambria Math" w:hAnsi="Cambria Math"/>
                </w:rPr>
                <m:t>min⁡(Z)</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old</m:t>
                  </m:r>
                </m:sub>
              </m:sSub>
              <m:r>
                <w:rPr>
                  <w:rFonts w:ascii="Cambria Math" w:hAnsi="Cambria Math"/>
                </w:rPr>
                <m:t>-</m:t>
              </m:r>
              <m:func>
                <m:funcPr>
                  <m:ctrlPr>
                    <w:rPr>
                      <w:rFonts w:ascii="Cambria Math" w:hAnsi="Cambria Math"/>
                    </w:rPr>
                  </m:ctrlPr>
                </m:funcPr>
                <m:fName>
                  <m:r>
                    <m:rPr>
                      <m:sty m:val="p"/>
                    </m:rPr>
                    <w:rPr>
                      <w:rFonts w:ascii="Cambria Math" w:hAnsi="Cambria Math"/>
                    </w:rPr>
                    <m:t>min</m:t>
                  </m:r>
                  <m:ctrlPr>
                    <w:rPr>
                      <w:rFonts w:ascii="Cambria Math" w:hAnsi="Cambria Math"/>
                      <w:i/>
                    </w:rPr>
                  </m:ctrlPr>
                </m:fName>
                <m:e>
                  <m:d>
                    <m:dPr>
                      <m:ctrlPr>
                        <w:rPr>
                          <w:rFonts w:ascii="Cambria Math" w:hAnsi="Cambria Math"/>
                        </w:rPr>
                      </m:ctrlPr>
                    </m:dPr>
                    <m:e>
                      <m:r>
                        <m:rPr>
                          <m:sty m:val="p"/>
                        </m:rPr>
                        <w:rPr>
                          <w:rFonts w:ascii="Cambria Math" w:hAnsi="Cambria Math"/>
                        </w:rPr>
                        <m:t>Z</m:t>
                      </m:r>
                    </m:e>
                  </m:d>
                </m:e>
              </m:func>
            </m:e>
          </m:d>
          <m:r>
            <w:rPr>
              <w:rFonts w:ascii="Cambria Math" w:hAnsi="Cambria Math"/>
            </w:rPr>
            <m:t>+1,</m:t>
          </m:r>
        </m:oMath>
      </m:oMathPara>
    </w:p>
    <w:p w14:paraId="5326F534" w14:textId="77777777" w:rsidR="00BA4734" w:rsidRDefault="00F66F7A" w:rsidP="00ED624C">
      <w:pPr>
        <w:pStyle w:val="BodyText"/>
      </w:pPr>
      <w:r>
        <w:t>w</w:t>
      </w:r>
      <w:r w:rsidRPr="008A758D">
        <w:t xml:space="preserve">here </w:t>
      </w:r>
      <m:oMath>
        <m:r>
          <w:rPr>
            <w:rFonts w:ascii="Cambria Math" w:hAnsi="Cambria Math"/>
          </w:rPr>
          <m:t>z</m:t>
        </m:r>
      </m:oMath>
      <w:r w:rsidRPr="008A758D">
        <w:t xml:space="preserve"> is the value that wants to be transform and the </w:t>
      </w:r>
      <m:oMath>
        <m:r>
          <w:rPr>
            <w:rFonts w:ascii="Cambria Math" w:hAnsi="Cambria Math"/>
          </w:rPr>
          <m:t>max</m:t>
        </m:r>
      </m:oMath>
      <w:r w:rsidRPr="008A758D">
        <w:t xml:space="preserve"> and </w:t>
      </w:r>
      <m:oMath>
        <m:r>
          <w:rPr>
            <w:rFonts w:ascii="Cambria Math" w:hAnsi="Cambria Math"/>
          </w:rPr>
          <m:t>min</m:t>
        </m:r>
      </m:oMath>
      <w:r w:rsidRPr="008A758D">
        <w:t xml:space="preserve"> values correspond to the maximum and minimum value of the built environment data set for each city.</w:t>
      </w:r>
    </w:p>
    <w:p w14:paraId="30C40887" w14:textId="102C6395" w:rsidR="00ED624C" w:rsidRDefault="00BA4734" w:rsidP="00ED624C">
      <w:pPr>
        <w:pStyle w:val="BodyText"/>
      </w:pPr>
      <w:r>
        <w:t xml:space="preserve">After </w:t>
      </w:r>
      <w:r w:rsidRPr="00C226F2">
        <w:rPr>
          <w:noProof/>
        </w:rPr>
        <w:t>this</w:t>
      </w:r>
      <w:r w:rsidR="00C226F2">
        <w:rPr>
          <w:noProof/>
        </w:rPr>
        <w:t>,</w:t>
      </w:r>
      <w:r w:rsidR="00F66F7A">
        <w:t xml:space="preserve"> we used the same methodology of </w:t>
      </w:r>
      <w:r w:rsidR="00F66F7A" w:rsidRPr="001B08FD">
        <w:t>PIE</w:t>
      </w:r>
      <w:r w:rsidR="00F66F7A" w:rsidRPr="001B08FD">
        <w:rPr>
          <w:vertAlign w:val="subscript"/>
        </w:rPr>
        <w:t>0</w:t>
      </w:r>
      <w:r w:rsidR="00F66F7A">
        <w:t xml:space="preserve"> where the weights </w:t>
      </w:r>
      <w:r w:rsidR="00730ACB" w:rsidRPr="001B08FD">
        <w:t>o</w:t>
      </w:r>
      <w:r w:rsidR="00F66F7A">
        <w:t>f</w:t>
      </w:r>
      <w:r w:rsidR="00730ACB">
        <w:t xml:space="preserve"> each attribute of the built environment </w:t>
      </w:r>
      <w:r w:rsidR="00471AD7">
        <w:t>are the coefficients of</w:t>
      </w:r>
      <w:r w:rsidR="00730ACB">
        <w:t xml:space="preserve"> univariate </w:t>
      </w:r>
      <w:r w:rsidR="00471AD7">
        <w:t xml:space="preserve">logit </w:t>
      </w:r>
      <w:r w:rsidR="00730ACB">
        <w:t xml:space="preserve">models </w:t>
      </w:r>
      <w:r w:rsidR="00471AD7">
        <w:t xml:space="preserve">of the choice to walk estimated </w:t>
      </w:r>
      <w:r w:rsidR="00730ACB">
        <w:t xml:space="preserve">using </w:t>
      </w:r>
      <w:r w:rsidR="00332B6D">
        <w:t xml:space="preserve">household travel survey </w:t>
      </w:r>
      <w:r w:rsidR="00730ACB">
        <w:t>data</w:t>
      </w:r>
      <w:r w:rsidR="00332B6D">
        <w:t xml:space="preserve"> for each region</w:t>
      </w:r>
      <w:r w:rsidR="00AB3575">
        <w:t xml:space="preserve">. </w:t>
      </w:r>
      <w:r w:rsidR="00730ACB" w:rsidRPr="001D10C5">
        <w:rPr>
          <w:noProof/>
        </w:rPr>
        <w:t>T</w:t>
      </w:r>
      <w:r w:rsidR="0065457B" w:rsidRPr="001D10C5">
        <w:rPr>
          <w:noProof/>
        </w:rPr>
        <w:t>he</w:t>
      </w:r>
      <w:r w:rsidR="0065457B">
        <w:t xml:space="preserve"> new indicator PIE</w:t>
      </w:r>
      <w:r w:rsidR="0065457B">
        <w:rPr>
          <w:vertAlign w:val="subscript"/>
        </w:rPr>
        <w:t>bg</w:t>
      </w:r>
      <w:r w:rsidR="0065457B">
        <w:t xml:space="preserve"> </w:t>
      </w:r>
      <w:r w:rsidR="0065457B" w:rsidRPr="00C226F2">
        <w:rPr>
          <w:noProof/>
        </w:rPr>
        <w:t xml:space="preserve">is </w:t>
      </w:r>
      <w:r w:rsidR="00F66F7A" w:rsidRPr="00C226F2">
        <w:rPr>
          <w:noProof/>
        </w:rPr>
        <w:t xml:space="preserve">again </w:t>
      </w:r>
      <w:r w:rsidR="008A2AC4" w:rsidRPr="00C226F2">
        <w:rPr>
          <w:noProof/>
        </w:rPr>
        <w:t>transform</w:t>
      </w:r>
      <w:r w:rsidR="00C226F2">
        <w:rPr>
          <w:noProof/>
        </w:rPr>
        <w:t>ed</w:t>
      </w:r>
      <w:r w:rsidR="008A2AC4">
        <w:t xml:space="preserve"> by multiplying with a constant </w:t>
      </w:r>
      <w:r w:rsidR="0065457B">
        <w:t xml:space="preserve">to have a minimum value of 20 and a maximum value of 100 as </w:t>
      </w:r>
      <w:r w:rsidR="00AB3575">
        <w:t>with</w:t>
      </w:r>
      <w:r w:rsidR="0065457B">
        <w:t xml:space="preserve"> PIE</w:t>
      </w:r>
      <w:r w:rsidR="00AB3575">
        <w:rPr>
          <w:vertAlign w:val="subscript"/>
        </w:rPr>
        <w:t>0</w:t>
      </w:r>
      <w:r w:rsidR="0065457B">
        <w:t>.</w:t>
      </w:r>
    </w:p>
    <w:p w14:paraId="32094436" w14:textId="1C2884CB" w:rsidR="00F66F7A" w:rsidRDefault="008A2AC4" w:rsidP="001D10C5">
      <w:pPr>
        <w:pStyle w:val="BodyText"/>
        <w:ind w:left="360"/>
      </w:pPr>
      <m:oMathPara>
        <m:oMath>
          <m:r>
            <w:rPr>
              <w:rFonts w:ascii="Cambria Math" w:hAnsi="Cambria Math"/>
            </w:rPr>
            <m:t xml:space="preserve">constant= </m:t>
          </m:r>
          <m:f>
            <m:fPr>
              <m:ctrlPr>
                <w:rPr>
                  <w:rFonts w:ascii="Cambria Math" w:hAnsi="Cambria Math"/>
                  <w:i/>
                </w:rPr>
              </m:ctrlPr>
            </m:fPr>
            <m:num>
              <m:r>
                <w:rPr>
                  <w:rFonts w:ascii="Cambria Math" w:hAnsi="Cambria Math"/>
                </w:rPr>
                <m:t>20</m:t>
              </m:r>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β</m:t>
                      </m:r>
                    </m:e>
                    <m:sub>
                      <m:r>
                        <w:rPr>
                          <w:rFonts w:ascii="Cambria Math" w:hAnsi="Cambria Math"/>
                        </w:rPr>
                        <m:t>1j</m:t>
                      </m:r>
                    </m:sub>
                  </m:sSub>
                  <m:r>
                    <w:rPr>
                      <w:rFonts w:ascii="Cambria Math" w:hAnsi="Cambria Math"/>
                    </w:rPr>
                    <m:t>*</m:t>
                  </m:r>
                  <m:func>
                    <m:funcPr>
                      <m:ctrlPr>
                        <w:rPr>
                          <w:rFonts w:ascii="Cambria Math" w:hAnsi="Cambria Math"/>
                          <w:i/>
                        </w:rPr>
                      </m:ctrlPr>
                    </m:funcPr>
                    <m:fName>
                      <m:r>
                        <m:rPr>
                          <m:sty m:val="p"/>
                        </m:rPr>
                        <w:rPr>
                          <w:rFonts w:ascii="Cambria Math" w:hAnsi="Cambria Math"/>
                        </w:rPr>
                        <m:t>min</m:t>
                      </m:r>
                    </m:fName>
                    <m:e>
                      <m:sSub>
                        <m:sSubPr>
                          <m:ctrlPr>
                            <w:rPr>
                              <w:rFonts w:ascii="Cambria Math" w:hAnsi="Cambria Math"/>
                              <w:i/>
                            </w:rPr>
                          </m:ctrlPr>
                        </m:sSubPr>
                        <m:e>
                          <m:r>
                            <w:rPr>
                              <w:rFonts w:ascii="Cambria Math" w:hAnsi="Cambria Math"/>
                            </w:rPr>
                            <m:t>z</m:t>
                          </m:r>
                        </m:e>
                        <m:sub>
                          <m:r>
                            <w:rPr>
                              <w:rFonts w:ascii="Cambria Math" w:hAnsi="Cambria Math"/>
                            </w:rPr>
                            <m:t>j</m:t>
                          </m:r>
                        </m:sub>
                      </m:sSub>
                    </m:e>
                  </m:func>
                </m:e>
              </m:nary>
            </m:den>
          </m:f>
        </m:oMath>
      </m:oMathPara>
    </w:p>
    <w:p w14:paraId="065AE6E1" w14:textId="5372DDFF" w:rsidR="00332B6D" w:rsidRDefault="00332B6D" w:rsidP="00332B6D">
      <w:pPr>
        <w:pStyle w:val="BodyText"/>
      </w:pPr>
      <w:r>
        <w:t xml:space="preserve">One of the objectives of this project was to use widely-available data in order to make our measures of PIE transferrable. The US Environmental Protection Agency (EPA) created a unique </w:t>
      </w:r>
      <w:r w:rsidRPr="005669E7">
        <w:rPr>
          <w:noProof/>
        </w:rPr>
        <w:t>dataset</w:t>
      </w:r>
      <w:r>
        <w:t xml:space="preserve"> called the Smart Location Database (SLD</w:t>
      </w:r>
      <w:r w:rsidRPr="00F90E87">
        <w:t xml:space="preserve">) </w:t>
      </w:r>
      <w:r>
        <w:fldChar w:fldCharType="begin"/>
      </w:r>
      <w:r>
        <w:instrText xml:space="preserve"> ADDIN ZOTERO_ITEM CSL_CITATION {"citationID":"V008b6ih","properties":{"formattedCitation":"(Ramsey and Bell 2014; US EPA 2014)","plainCitation":"(Ramsey and Bell 2014; US EPA 2014)"},"citationItems":[{"id":192,"uris":["http://zotero.org/users/4776332/items/JL6ASYTW"],"uri":["http://zotero.org/users/4776332/items/JL6ASYTW"],"itemData":{"id":192,"type":"article-journal","title":"The Smart Location Database: A nationwide data resource characterizing the built Environment and destination accessibility at the neighborhood scale","container-title":"Cityscape","page":"145","volume":"16","issue":"2","source":"Google Scholar","shortTitle":"The Smart Location Database","author":[{"family":"Ramsey","given":"Kevin"},{"family":"Bell","given":"Alexander"}],"issued":{"date-parts":[["2014"]]}}},{"id":208,"uris":["http://zotero.org/users/4776332/items/J97SLJAA"],"uri":["http://zotero.org/users/4776332/items/J97SLJAA"],"itemData":{"id":208,"type":"webpage","title":"Smart Location Database Technical Documentation and User Guide","container-title":"US EPA","genre":"Data and Tools","abstract":"This report has a detailed description of the data sources and methodologies used to calculate the variables in the Smart Location Database.","URL":"https://www.epa.gov/smartgrowth/smart-location-database-technical-documentation-and-user-guide","language":"en","author":[{"family":"US EPA","given":"OA"}],"issued":{"date-parts":[["2014",2,27]]},"accessed":{"date-parts":[["2018",4,16]]}}}],"schema":"https://github.com/citation-style-language/schema/raw/master/csl-citation.json"} </w:instrText>
      </w:r>
      <w:r>
        <w:fldChar w:fldCharType="separate"/>
      </w:r>
      <w:r w:rsidRPr="001B1E4A">
        <w:t>(Ramsey and Bell 2014; US EPA 2014)</w:t>
      </w:r>
      <w:r>
        <w:fldChar w:fldCharType="end"/>
      </w:r>
      <w:r>
        <w:t xml:space="preserve"> that includes information from the Census, the street design from Navteq’s NAVSTREETS street data, and transit data form each local agency, in </w:t>
      </w:r>
      <w:r w:rsidRPr="005669E7">
        <w:rPr>
          <w:noProof/>
        </w:rPr>
        <w:t>General</w:t>
      </w:r>
      <w:r w:rsidRPr="00866B93">
        <w:t xml:space="preserve"> Transit Feed Specification (GTFS)</w:t>
      </w:r>
      <w:r>
        <w:t>, that include all the time schedule and transit routes. This data source was selected because it is a resource that offers a large number of built environment variables, measured using equivalent methods, and it covers the entire country at a relatively small spatial scale</w:t>
      </w:r>
      <w:r w:rsidR="00BA4734">
        <w:t>. The</w:t>
      </w:r>
      <w:r>
        <w:t xml:space="preserve"> </w:t>
      </w:r>
      <w:r w:rsidR="00BA4734">
        <w:t>C</w:t>
      </w:r>
      <w:r>
        <w:t xml:space="preserve">ensus block groups are clusters of blocks with a population between 600 and 3,000 people. Although </w:t>
      </w:r>
      <w:r w:rsidRPr="00C226F2">
        <w:rPr>
          <w:noProof/>
        </w:rPr>
        <w:t>pedestrian</w:t>
      </w:r>
      <w:r>
        <w:t xml:space="preserve"> behavior is associated with a broad array of built environment characteristics, the following were selected based upon their availability in the SLD database (and thus their availability in all of our US study locations), their strong association with walking, and similarity to that used in PIE</w:t>
      </w:r>
      <w:r w:rsidRPr="001150F9">
        <w:rPr>
          <w:vertAlign w:val="subscript"/>
        </w:rPr>
        <w:t>0</w:t>
      </w:r>
      <w:r>
        <w:t>.</w:t>
      </w:r>
    </w:p>
    <w:p w14:paraId="42173D1C" w14:textId="41565E36" w:rsidR="00534AED" w:rsidRDefault="00142DCC" w:rsidP="00534AED">
      <w:pPr>
        <w:pStyle w:val="BodyText"/>
        <w:numPr>
          <w:ilvl w:val="0"/>
          <w:numId w:val="40"/>
        </w:numPr>
      </w:pPr>
      <w:r>
        <w:t>People per acre</w:t>
      </w:r>
      <w:r w:rsidR="00534AED">
        <w:t>: It is the addition of population and employment density. Population density is the gross population density of people per acre using the population of the decennial 2010 Census and the unprotected area defined in the Census Block Group. Employment density is calculated using the Census Longitudinal Employer-Household Dynamics (LEHD) data and dividing it by the unprotected area defined in the Census Block Group in acres.</w:t>
      </w:r>
    </w:p>
    <w:p w14:paraId="12D53B16" w14:textId="6A348171" w:rsidR="00332B6D" w:rsidRDefault="00142DCC" w:rsidP="00534AED">
      <w:pPr>
        <w:pStyle w:val="BodyText"/>
        <w:numPr>
          <w:ilvl w:val="0"/>
          <w:numId w:val="40"/>
        </w:numPr>
      </w:pPr>
      <w:r>
        <w:t xml:space="preserve">Urban living infrastructure (ULI): </w:t>
      </w:r>
      <w:r w:rsidR="00534AED">
        <w:t>Using the same data from employment density we filtered to include only commercial and entertainment employment.</w:t>
      </w:r>
      <w:r w:rsidR="007A7D62">
        <w:t xml:space="preserve"> However, unlike the original ULI measure, which is a count of these establishments within a quarter-mile buffer, this ULI measure is a density measure. </w:t>
      </w:r>
      <w:r w:rsidR="009A3585">
        <w:t>While they are both effectively describing density, the coefficients from these two different ULI measures cannot be directly compared</w:t>
      </w:r>
      <w:r w:rsidR="00332B6D">
        <w:t xml:space="preserve"> </w:t>
      </w:r>
      <w:r w:rsidR="009A3585">
        <w:t xml:space="preserve">because of their different construction. </w:t>
      </w:r>
    </w:p>
    <w:p w14:paraId="0AFC40AF" w14:textId="5993243B" w:rsidR="00332B6D" w:rsidRDefault="00332B6D" w:rsidP="00332B6D">
      <w:pPr>
        <w:pStyle w:val="BodyText"/>
        <w:numPr>
          <w:ilvl w:val="0"/>
          <w:numId w:val="40"/>
        </w:numPr>
      </w:pPr>
      <w:r>
        <w:lastRenderedPageBreak/>
        <w:t xml:space="preserve">Transit accessibility: Aggregate frequency of all transit in a buffer of 0.25 miles of the block group in the peak hour using GTFS data from the local transit agencies. </w:t>
      </w:r>
    </w:p>
    <w:p w14:paraId="72B046A9" w14:textId="77777777" w:rsidR="00534AED" w:rsidRDefault="00534AED" w:rsidP="00534AED">
      <w:pPr>
        <w:pStyle w:val="BodyText"/>
        <w:numPr>
          <w:ilvl w:val="0"/>
          <w:numId w:val="40"/>
        </w:numPr>
      </w:pPr>
      <w:r>
        <w:t xml:space="preserve">Total road network density: The total miles of roadway per square mile. Highways that are divided are counted as two separate roadways. </w:t>
      </w:r>
    </w:p>
    <w:p w14:paraId="5AD87718" w14:textId="320AEA9F" w:rsidR="00F1175B" w:rsidRDefault="00534AED" w:rsidP="00ED624C">
      <w:pPr>
        <w:pStyle w:val="BodyText"/>
      </w:pPr>
      <w:r>
        <w:t xml:space="preserve">These variables </w:t>
      </w:r>
      <w:r w:rsidR="00F1175B">
        <w:t xml:space="preserve">in this new index </w:t>
      </w:r>
      <w:r>
        <w:t xml:space="preserve">differ from those </w:t>
      </w:r>
      <w:r w:rsidRPr="009F5118">
        <w:rPr>
          <w:noProof/>
        </w:rPr>
        <w:t>use</w:t>
      </w:r>
      <w:r w:rsidR="00840BB1">
        <w:rPr>
          <w:noProof/>
        </w:rPr>
        <w:t>d</w:t>
      </w:r>
      <w:r>
        <w:t xml:space="preserve"> in the original </w:t>
      </w:r>
      <w:r w:rsidR="00F1175B">
        <w:t>PIE</w:t>
      </w:r>
      <w:r w:rsidR="00F1175B" w:rsidRPr="00F1175B">
        <w:rPr>
          <w:vertAlign w:val="subscript"/>
        </w:rPr>
        <w:t>0</w:t>
      </w:r>
      <w:r w:rsidR="00F1175B">
        <w:t xml:space="preserve"> </w:t>
      </w:r>
      <w:r>
        <w:t xml:space="preserve">in two ways. </w:t>
      </w:r>
      <w:r w:rsidRPr="00840BB1">
        <w:rPr>
          <w:noProof/>
        </w:rPr>
        <w:t>First</w:t>
      </w:r>
      <w:r w:rsidR="00840BB1">
        <w:rPr>
          <w:noProof/>
        </w:rPr>
        <w:t>,</w:t>
      </w:r>
      <w:r>
        <w:t xml:space="preserve"> </w:t>
      </w:r>
      <w:r w:rsidR="00F64307">
        <w:t xml:space="preserve">our original measures of connectivity, </w:t>
      </w:r>
      <w:r>
        <w:t>block size</w:t>
      </w:r>
      <w:r w:rsidR="00F64307">
        <w:t xml:space="preserve">, was substituted with </w:t>
      </w:r>
      <w:r>
        <w:t xml:space="preserve">total road network density. </w:t>
      </w:r>
      <w:r w:rsidR="00BA4734">
        <w:t>The reason for this is</w:t>
      </w:r>
      <w:r>
        <w:t xml:space="preserve"> </w:t>
      </w:r>
      <w:r w:rsidR="00F64307">
        <w:t xml:space="preserve">partially convenience: it is not available </w:t>
      </w:r>
      <w:r>
        <w:t xml:space="preserve">in the SLD dataset. </w:t>
      </w:r>
      <w:r w:rsidR="00F64307">
        <w:t xml:space="preserve">The other alternative, intersection densities, </w:t>
      </w:r>
      <w:r>
        <w:t>were poorly defined in the</w:t>
      </w:r>
      <w:r w:rsidR="00F64307">
        <w:t xml:space="preserve"> SLD</w:t>
      </w:r>
      <w:r>
        <w:t xml:space="preserve"> database making it difficult to interpret. </w:t>
      </w:r>
      <w:r w:rsidR="00035265">
        <w:t>Additionally</w:t>
      </w:r>
      <w:r>
        <w:t xml:space="preserve">, </w:t>
      </w:r>
      <w:r>
        <w:fldChar w:fldCharType="begin"/>
      </w:r>
      <w:r>
        <w:instrText xml:space="preserve"> ADDIN ZOTERO_ITEM CSL_CITATION {"citationID":"T4dPLLEJ","properties":{"formattedCitation":"(Berrigan, Pickle, and Dill 2010)","plainCitation":"(Berrigan, Pickle, and Dill 2010)","noteIndex":0},"citationItems":[{"id":199,"uris":["http://zotero.org/users/4776332/items/N6YYFTCH"],"uri":["http://zotero.org/users/4776332/items/N6YYFTCH"],"itemData":{"id":199,"type":"article-journal","title":"Associations between street connectivity and active transportation","container-title":"International Journal of Health Geographics","page":"20","volume":"9","issue":"1","source":"Crossref","abstract":"Background: Past studies of associations between measures of the built environment, particularly street connectivity, and active transportation (AT) or leisure walking/bicycling have largely failed to account for spatial autocorrelation of connectivity variables and have seldom examined both the propensity for AT and its duration in a coherent fashion. Such efforts could improve our understanding of the spatial and behavioral aspects of AT. We analyzed spatially identified data from Los Angeles and San Diego Counties collected as part of the 2001 California Health Interview Survey.\nResults: Principal components analysis indicated that ~85% of the variance in nine measures of street connectivity are accounted for by two components representing buffers with short blocks and dense nodes (PRIN1) or buffers with longer blocks that still maintain a grid like structure (PRIN2). PRIN1 and PRIN2 were positively associated with active transportation (AT) after adjustment for diverse demographic and health related variables. Propensity and duration of AT were correlated in both Los Angeles (r = 0.14) and San Diego (r = 0.49) at the zip code level. Multivariate analysis could account for the correlation between the two outcomes. After controlling for demography, measures of the built environment and other factors, no spatial autocorrelation remained for propensity to report AT (i.e., report of AT appeared to be independent among neighborhood residents). However, very localized correlation was evident in duration of AT, particularly in San Diego, where the variance of duration, after accounting for spatial autocorrelation, was 5% smaller within small neighborhoods (~0.01 square latitude/longitude degrees = 0.6 mile diameter) compared to within larger zip code areas. Thus a finer spatial scale of analysis seems to be more appropriate for explaining variation in connectivity and AT.\nConclusions: Joint analysis of the propensity and duration of AT behavior and an explicitly geographic approach can strengthen studies of the built environment and physical activity (PA), specifically AT. More rigorous analytical work on cross-sectional data, such as in the present study, continues to support the need for experimental and longitudinal study designs including the analysis of natural experiments to evaluate the utility of environmental interventions aimed at increasing PA.","DOI":"10.1186/1476-072X-9-20","ISSN":"1476-072X","language":"en","author":[{"family":"Berrigan","given":"David"},{"family":"Pickle","given":"Linda W"},{"family":"Dill","given":"Jennifer"}],"issued":{"date-parts":[["2010"]]}}}],"schema":"https://github.com/citation-style-language/schema/raw/master/csl-citation.json"} </w:instrText>
      </w:r>
      <w:r>
        <w:fldChar w:fldCharType="separate"/>
      </w:r>
      <w:r>
        <w:t>Berrigan et al. (</w:t>
      </w:r>
      <w:r w:rsidRPr="00534AED">
        <w:t>2010)</w:t>
      </w:r>
      <w:r>
        <w:fldChar w:fldCharType="end"/>
      </w:r>
      <w:r>
        <w:t xml:space="preserve"> showed that intersection density and network density ha</w:t>
      </w:r>
      <w:r w:rsidR="00035265">
        <w:t>ve</w:t>
      </w:r>
      <w:r>
        <w:t xml:space="preserve"> a</w:t>
      </w:r>
      <w:r w:rsidR="00035265">
        <w:t>lmost a</w:t>
      </w:r>
      <w:r>
        <w:t xml:space="preserve"> 90% of correlation, making them very similar. Therefore, we used total road network density </w:t>
      </w:r>
      <w:r w:rsidR="00F1175B">
        <w:t xml:space="preserve">to assess connectivity, which also </w:t>
      </w:r>
      <w:r w:rsidRPr="00840BB1">
        <w:rPr>
          <w:noProof/>
        </w:rPr>
        <w:t>give</w:t>
      </w:r>
      <w:r w:rsidR="00840BB1">
        <w:rPr>
          <w:noProof/>
        </w:rPr>
        <w:t>s</w:t>
      </w:r>
      <w:r>
        <w:t xml:space="preserve"> the best fit in the model. </w:t>
      </w:r>
    </w:p>
    <w:p w14:paraId="31D52F61" w14:textId="3D15F2FC" w:rsidR="00332B6D" w:rsidRDefault="00534AED" w:rsidP="00ED624C">
      <w:pPr>
        <w:pStyle w:val="BodyText"/>
      </w:pPr>
      <w:r w:rsidRPr="00840BB1">
        <w:rPr>
          <w:noProof/>
        </w:rPr>
        <w:t>Second</w:t>
      </w:r>
      <w:r w:rsidR="00840BB1">
        <w:rPr>
          <w:noProof/>
        </w:rPr>
        <w:t>,</w:t>
      </w:r>
      <w:r>
        <w:t xml:space="preserve"> we did not include </w:t>
      </w:r>
      <w:r w:rsidR="00F1175B">
        <w:t xml:space="preserve">measures of </w:t>
      </w:r>
      <w:r>
        <w:t>sidewalk density and comfortable cycling facilities</w:t>
      </w:r>
      <w:r w:rsidR="00387527">
        <w:t xml:space="preserve"> in our new construct</w:t>
      </w:r>
      <w:r>
        <w:t xml:space="preserve">. This omission was </w:t>
      </w:r>
      <w:r w:rsidR="00387527">
        <w:t>justified as</w:t>
      </w:r>
      <w:r w:rsidR="00BA4734">
        <w:t xml:space="preserve"> both </w:t>
      </w:r>
      <w:r w:rsidR="00387527">
        <w:t xml:space="preserve">measures </w:t>
      </w:r>
      <w:r w:rsidR="00BA4734">
        <w:t xml:space="preserve">are not </w:t>
      </w:r>
      <w:r w:rsidR="00387527">
        <w:t>widely</w:t>
      </w:r>
      <w:r w:rsidR="00BA4734">
        <w:t xml:space="preserve"> available. </w:t>
      </w:r>
      <w:r w:rsidR="004D617E">
        <w:t xml:space="preserve">Further, the comfortable cycling facilities </w:t>
      </w:r>
      <w:r w:rsidR="00677DB0">
        <w:t xml:space="preserve">variable itself has a weak theoretical association with pedestrian travel. It </w:t>
      </w:r>
      <w:r w:rsidR="004D617E">
        <w:t xml:space="preserve">was originally </w:t>
      </w:r>
      <w:r w:rsidR="00677DB0">
        <w:t>incorporated in PIE</w:t>
      </w:r>
      <w:r w:rsidR="00677DB0" w:rsidRPr="00677DB0">
        <w:rPr>
          <w:vertAlign w:val="subscript"/>
        </w:rPr>
        <w:t>0</w:t>
      </w:r>
      <w:r w:rsidR="00677DB0">
        <w:t xml:space="preserve"> </w:t>
      </w:r>
      <w:r w:rsidR="004D617E">
        <w:t xml:space="preserve">a proxy </w:t>
      </w:r>
      <w:r w:rsidR="00677DB0">
        <w:t xml:space="preserve">measure </w:t>
      </w:r>
      <w:r w:rsidR="004D617E">
        <w:t>for the degree to which streets accommodated multimodal travel</w:t>
      </w:r>
      <w:r w:rsidR="00677DB0">
        <w:t xml:space="preserve">. </w:t>
      </w:r>
      <w:r w:rsidR="00BA4734">
        <w:t>Furthermore, th</w:t>
      </w:r>
      <w:r w:rsidR="00677DB0">
        <w:t>e primary motivation for this</w:t>
      </w:r>
      <w:r w:rsidR="00BA4734">
        <w:t xml:space="preserve"> exercise is to test how transferable are the relationships </w:t>
      </w:r>
      <w:r w:rsidR="00677DB0">
        <w:t xml:space="preserve">in PIE are across different locations </w:t>
      </w:r>
      <w:r w:rsidR="00BA4734">
        <w:t xml:space="preserve">and not </w:t>
      </w:r>
      <w:r w:rsidR="00677DB0">
        <w:t xml:space="preserve">necessarily </w:t>
      </w:r>
      <w:r w:rsidR="00BA4734">
        <w:t xml:space="preserve">to estimate a </w:t>
      </w:r>
      <w:r w:rsidR="00677DB0">
        <w:t>model to use for forecasting</w:t>
      </w:r>
      <w:r>
        <w:t xml:space="preserve">. </w:t>
      </w:r>
    </w:p>
    <w:p w14:paraId="39A45C01" w14:textId="77777777" w:rsidR="004D1B73" w:rsidRDefault="00ED624C" w:rsidP="004D1B73">
      <w:pPr>
        <w:pStyle w:val="BodyText"/>
        <w:jc w:val="center"/>
      </w:pPr>
      <w:r>
        <w:rPr>
          <w:noProof/>
        </w:rPr>
        <w:drawing>
          <wp:inline distT="0" distB="0" distL="0" distR="0" wp14:anchorId="4394711C" wp14:editId="4CD91325">
            <wp:extent cx="4157663" cy="3597978"/>
            <wp:effectExtent l="0" t="0" r="0" b="2540"/>
            <wp:docPr id="14" name="Picture 14" descr="PAZ_BG_Por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Z_BG_Portlan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9397" cy="3625440"/>
                    </a:xfrm>
                    <a:prstGeom prst="rect">
                      <a:avLst/>
                    </a:prstGeom>
                    <a:noFill/>
                    <a:ln>
                      <a:noFill/>
                    </a:ln>
                  </pic:spPr>
                </pic:pic>
              </a:graphicData>
            </a:graphic>
          </wp:inline>
        </w:drawing>
      </w:r>
      <w:bookmarkStart w:id="22" w:name="_Ref511669394"/>
    </w:p>
    <w:p w14:paraId="1F6BA2FF" w14:textId="02884F32" w:rsidR="009B651A" w:rsidRPr="009B651A" w:rsidRDefault="001B1E4A" w:rsidP="004D1B73">
      <w:pPr>
        <w:pStyle w:val="BodyText"/>
        <w:jc w:val="center"/>
      </w:pPr>
      <w:bookmarkStart w:id="23" w:name="_Toc2003579"/>
      <w:r>
        <w:t xml:space="preserve">Figure </w:t>
      </w:r>
      <w:fldSimple w:instr=" SEQ Figure \* ARABIC ">
        <w:r w:rsidR="00721680">
          <w:rPr>
            <w:noProof/>
          </w:rPr>
          <w:t>2</w:t>
        </w:r>
      </w:fldSimple>
      <w:bookmarkEnd w:id="22"/>
      <w:r>
        <w:t xml:space="preserve"> Comparison between block groups (bold line) and PAZ (grid) in downtown Portland</w:t>
      </w:r>
      <w:r w:rsidR="00744CA2">
        <w:t>, OR</w:t>
      </w:r>
      <w:bookmarkEnd w:id="23"/>
    </w:p>
    <w:p w14:paraId="6C5AEB67" w14:textId="1E48875E" w:rsidR="00DA4DDD" w:rsidRDefault="00DA4DDD" w:rsidP="00866B93">
      <w:pPr>
        <w:pStyle w:val="BodyText"/>
      </w:pPr>
      <w:r>
        <w:lastRenderedPageBreak/>
        <w:t xml:space="preserve">The next step in the process was </w:t>
      </w:r>
      <w:r w:rsidR="005C6A88">
        <w:t xml:space="preserve">to construct </w:t>
      </w:r>
      <w:r>
        <w:t>the built environment measures from the SLD</w:t>
      </w:r>
      <w:r w:rsidR="00677DB0">
        <w:t xml:space="preserve"> data</w:t>
      </w:r>
      <w:r>
        <w:t xml:space="preserve">. The </w:t>
      </w:r>
      <w:r w:rsidR="00212BF1">
        <w:t>dataset</w:t>
      </w:r>
      <w:r w:rsidR="005C6A88">
        <w:t>,</w:t>
      </w:r>
      <w:r>
        <w:t xml:space="preserve"> as explained </w:t>
      </w:r>
      <w:r w:rsidR="001150F9" w:rsidRPr="00677DB0">
        <w:rPr>
          <w:noProof/>
        </w:rPr>
        <w:t>previously</w:t>
      </w:r>
      <w:r w:rsidR="005C6A88">
        <w:rPr>
          <w:noProof/>
        </w:rPr>
        <w:t>,</w:t>
      </w:r>
      <w:r>
        <w:t xml:space="preserve"> includes the residential density and employment density, so </w:t>
      </w:r>
      <w:r w:rsidR="005C6A88">
        <w:t xml:space="preserve">those measures were </w:t>
      </w:r>
      <w:r>
        <w:t>direct</w:t>
      </w:r>
      <w:r w:rsidR="005C6A88">
        <w:t>ly incorporated</w:t>
      </w:r>
      <w:r>
        <w:t xml:space="preserve">. To create </w:t>
      </w:r>
      <w:r w:rsidRPr="00C10D87">
        <w:t>ULI</w:t>
      </w:r>
      <w:r>
        <w:t>, we used commercial and retail employment density measures</w:t>
      </w:r>
      <w:r w:rsidR="00BA4734">
        <w:t xml:space="preserve"> that also was a direct calculation</w:t>
      </w:r>
      <w:r>
        <w:t xml:space="preserve">. </w:t>
      </w:r>
      <w:r w:rsidR="00BA4734">
        <w:t>The</w:t>
      </w:r>
      <w:r w:rsidR="00332B6D">
        <w:t xml:space="preserve"> total road network </w:t>
      </w:r>
      <w:r w:rsidR="00BA4734">
        <w:t>and the t</w:t>
      </w:r>
      <w:r>
        <w:t xml:space="preserve">ransit aggregated frequency </w:t>
      </w:r>
      <w:r w:rsidR="00C226F2">
        <w:t xml:space="preserve">were </w:t>
      </w:r>
      <w:r w:rsidR="00BA4734" w:rsidRPr="00677DB0">
        <w:rPr>
          <w:noProof/>
        </w:rPr>
        <w:t>define</w:t>
      </w:r>
      <w:r w:rsidR="00C226F2">
        <w:rPr>
          <w:noProof/>
        </w:rPr>
        <w:t>d</w:t>
      </w:r>
      <w:r w:rsidR="00BA4734">
        <w:t xml:space="preserve"> directly in the database</w:t>
      </w:r>
      <w:r w:rsidR="00212BF1">
        <w:t xml:space="preserve"> so no calculation was needed.</w:t>
      </w:r>
    </w:p>
    <w:p w14:paraId="5FA48F98" w14:textId="77777777" w:rsidR="00425020" w:rsidRDefault="00425020" w:rsidP="00425020">
      <w:pPr>
        <w:pStyle w:val="BodyText"/>
      </w:pPr>
      <w:r>
        <w:t>In synthesis, PIE</w:t>
      </w:r>
      <w:r w:rsidRPr="00925255">
        <w:rPr>
          <w:vertAlign w:val="subscript"/>
        </w:rPr>
        <w:t>bg</w:t>
      </w:r>
      <w:r>
        <w:t xml:space="preserve"> is estimated with the same method of aggregating the univariate coefficients of the four variables described above. This process is as follows: </w:t>
      </w:r>
    </w:p>
    <w:p w14:paraId="47259D33" w14:textId="77777777" w:rsidR="00425020" w:rsidRPr="00C57416" w:rsidRDefault="00425020" w:rsidP="00425020">
      <w:pPr>
        <w:pStyle w:val="BodyText"/>
        <w:numPr>
          <w:ilvl w:val="0"/>
          <w:numId w:val="38"/>
        </w:numPr>
      </w:pPr>
      <w:r>
        <w:t>Res</w:t>
      </w:r>
      <w:r w:rsidRPr="00C57416">
        <w:t xml:space="preserve">cale the </w:t>
      </w:r>
      <w:r>
        <w:t>built environment variables from the SLD values to be a continuous measure between 1 and 5, with 1 representing the group of lowest values and 5 the highest</w:t>
      </w:r>
      <w:r w:rsidRPr="00C57416">
        <w:t>.</w:t>
      </w:r>
    </w:p>
    <w:p w14:paraId="090C8559" w14:textId="77777777" w:rsidR="00425020" w:rsidRPr="00C57416" w:rsidRDefault="00425020" w:rsidP="00425020">
      <w:pPr>
        <w:pStyle w:val="BodyText"/>
        <w:numPr>
          <w:ilvl w:val="0"/>
          <w:numId w:val="38"/>
        </w:numPr>
      </w:pPr>
      <w:r w:rsidRPr="00C57416">
        <w:t>Do a spatial join of the Oregon Household Survey t</w:t>
      </w:r>
      <w:r>
        <w:t>rips origins data with the SLD</w:t>
      </w:r>
      <w:r w:rsidRPr="00C57416">
        <w:t>. In this way, we manage to get a data set of each trip with the associated data of the block group</w:t>
      </w:r>
      <w:r>
        <w:t xml:space="preserve"> at the trip origin</w:t>
      </w:r>
      <w:r w:rsidRPr="00C57416">
        <w:t>.</w:t>
      </w:r>
    </w:p>
    <w:p w14:paraId="40645650" w14:textId="77777777" w:rsidR="00425020" w:rsidRPr="00C57416" w:rsidRDefault="00425020" w:rsidP="00425020">
      <w:pPr>
        <w:pStyle w:val="BodyText"/>
        <w:numPr>
          <w:ilvl w:val="0"/>
          <w:numId w:val="38"/>
        </w:numPr>
      </w:pPr>
      <w:r>
        <w:t>Estimate individual</w:t>
      </w:r>
      <w:r w:rsidRPr="00C57416">
        <w:t xml:space="preserve"> univariate</w:t>
      </w:r>
      <w:r>
        <w:t xml:space="preserve"> binary</w:t>
      </w:r>
      <w:r w:rsidRPr="00C57416">
        <w:t xml:space="preserve"> logit </w:t>
      </w:r>
      <w:r>
        <w:t xml:space="preserve">models of </w:t>
      </w:r>
      <w:r w:rsidRPr="00C57416">
        <w:t xml:space="preserve">walking </w:t>
      </w:r>
      <w:r>
        <w:t xml:space="preserve">mode choice as a function of </w:t>
      </w:r>
      <w:r w:rsidRPr="00C57416">
        <w:t>each of the</w:t>
      </w:r>
      <w:r>
        <w:t xml:space="preserve"> built environment variables</w:t>
      </w:r>
      <w:r w:rsidRPr="00C57416">
        <w:t xml:space="preserve">. </w:t>
      </w:r>
    </w:p>
    <w:p w14:paraId="645010A1" w14:textId="55B55056" w:rsidR="00425020" w:rsidRDefault="00425020" w:rsidP="00425020">
      <w:pPr>
        <w:pStyle w:val="BodyText"/>
        <w:numPr>
          <w:ilvl w:val="0"/>
          <w:numId w:val="38"/>
        </w:numPr>
      </w:pPr>
      <w:r w:rsidRPr="00C57416">
        <w:t>Take the</w:t>
      </w:r>
      <w:r>
        <w:t xml:space="preserve"> </w:t>
      </w:r>
      <w:r w:rsidRPr="00C57416">
        <w:t xml:space="preserve">coefficients of each model and generate a </w:t>
      </w:r>
      <w:r>
        <w:t>PIE</w:t>
      </w:r>
      <w:r w:rsidRPr="0046550D">
        <w:rPr>
          <w:vertAlign w:val="subscript"/>
        </w:rPr>
        <w:t>bg</w:t>
      </w:r>
      <w:r w:rsidRPr="00C57416">
        <w:t xml:space="preserve"> v</w:t>
      </w:r>
      <w:r>
        <w:t>alue for the block group level with the weights.</w:t>
      </w:r>
      <w:r w:rsidRPr="003C6EE6">
        <w:t xml:space="preserve"> </w:t>
      </w:r>
      <w:r>
        <w:t xml:space="preserve">The </w:t>
      </w:r>
      <w:r w:rsidR="00212BF1">
        <w:t>coefficients are multiplied by a constant</w:t>
      </w:r>
      <w:r>
        <w:t xml:space="preserve"> so that PIE</w:t>
      </w:r>
      <w:r w:rsidRPr="0046550D">
        <w:rPr>
          <w:vertAlign w:val="subscript"/>
        </w:rPr>
        <w:t>bg</w:t>
      </w:r>
      <w:r>
        <w:t xml:space="preserve"> </w:t>
      </w:r>
      <w:r w:rsidRPr="003C6EE6">
        <w:t>ha</w:t>
      </w:r>
      <w:r>
        <w:t>s</w:t>
      </w:r>
      <w:r w:rsidRPr="003C6EE6">
        <w:t xml:space="preserve"> a minimum value of 20 and a maximum value of a 100</w:t>
      </w:r>
      <w:r>
        <w:t>.</w:t>
      </w:r>
      <w:r w:rsidRPr="0046550D">
        <w:rPr>
          <w:rFonts w:asciiTheme="minorHAnsi" w:eastAsiaTheme="minorHAnsi" w:hAnsiTheme="minorHAnsi" w:cstheme="minorBidi"/>
          <w:sz w:val="22"/>
          <w:szCs w:val="22"/>
        </w:rPr>
        <w:t xml:space="preserve"> </w:t>
      </w:r>
      <w:r w:rsidRPr="0046550D">
        <w:t>For this task, we replicat</w:t>
      </w:r>
      <w:r w:rsidR="00212BF1">
        <w:t>e</w:t>
      </w:r>
      <w:r w:rsidRPr="0046550D">
        <w:t xml:space="preserve"> the same method used in PIE</w:t>
      </w:r>
      <w:r w:rsidRPr="0046550D">
        <w:rPr>
          <w:vertAlign w:val="subscript"/>
        </w:rPr>
        <w:t>0</w:t>
      </w:r>
      <w:r w:rsidRPr="0046550D">
        <w:t xml:space="preserve">. </w:t>
      </w:r>
    </w:p>
    <w:p w14:paraId="2E79408E" w14:textId="71F891C7" w:rsidR="00425020" w:rsidRDefault="008A2AC4" w:rsidP="001B08FD">
      <w:pPr>
        <w:pStyle w:val="BodyText"/>
        <w:ind w:left="720"/>
      </w:pPr>
      <w:r>
        <w:t>The</w:t>
      </w:r>
      <w:r w:rsidR="00425020" w:rsidRPr="0046550D">
        <w:t xml:space="preserve"> final PIE</w:t>
      </w:r>
      <w:r w:rsidR="00425020" w:rsidRPr="0046550D">
        <w:rPr>
          <w:vertAlign w:val="subscript"/>
        </w:rPr>
        <w:t>bg</w:t>
      </w:r>
      <w:r w:rsidR="00425020" w:rsidRPr="0046550D">
        <w:t xml:space="preserve"> score</w:t>
      </w:r>
      <w:r>
        <w:t xml:space="preserve"> is calculated using the following formula.</w:t>
      </w:r>
    </w:p>
    <w:p w14:paraId="50FDB334" w14:textId="77777777" w:rsidR="00A92117" w:rsidRPr="00A92117" w:rsidRDefault="00983295" w:rsidP="00A92117">
      <w:pPr>
        <w:pStyle w:val="BodyText"/>
        <w:ind w:left="-180" w:right="-360"/>
        <w:rPr>
          <w:sz w:val="22"/>
          <w:szCs w:val="22"/>
        </w:rPr>
      </w:pPr>
      <m:oMathPara>
        <m:oMath>
          <m:sSub>
            <m:sSubPr>
              <m:ctrlPr>
                <w:rPr>
                  <w:rFonts w:ascii="Cambria Math" w:hAnsi="Cambria Math"/>
                  <w:i/>
                  <w:sz w:val="22"/>
                  <w:szCs w:val="22"/>
                </w:rPr>
              </m:ctrlPr>
            </m:sSubPr>
            <m:e>
              <m:r>
                <w:rPr>
                  <w:rFonts w:ascii="Cambria Math" w:hAnsi="Cambria Math"/>
                  <w:sz w:val="22"/>
                  <w:szCs w:val="22"/>
                </w:rPr>
                <m:t>PIE</m:t>
              </m:r>
            </m:e>
            <m:sub>
              <m:r>
                <w:rPr>
                  <w:rFonts w:ascii="Cambria Math" w:hAnsi="Cambria Math"/>
                  <w:sz w:val="22"/>
                  <w:szCs w:val="22"/>
                </w:rPr>
                <m:t>bg</m:t>
              </m:r>
            </m:sub>
          </m:sSub>
          <m:r>
            <w:rPr>
              <w:rFonts w:ascii="Cambria Math" w:hAnsi="Cambria Math"/>
              <w:sz w:val="22"/>
              <w:szCs w:val="22"/>
            </w:rPr>
            <m:t>=4.6*people per acre+4.8*ULI+4.7*transit accessibility+6.1*street network density</m:t>
          </m:r>
        </m:oMath>
      </m:oMathPara>
    </w:p>
    <w:p w14:paraId="07827542" w14:textId="5EB0F5F1" w:rsidR="002D30FE" w:rsidRDefault="00C837B2" w:rsidP="00D1654A">
      <w:pPr>
        <w:pStyle w:val="Heading1"/>
      </w:pPr>
      <w:bookmarkStart w:id="24" w:name="_Ref512000014"/>
      <w:bookmarkStart w:id="25" w:name="_Toc2003601"/>
      <w:r>
        <w:t>Testing</w:t>
      </w:r>
      <w:r w:rsidR="00252F62">
        <w:t xml:space="preserve"> the transferability of</w:t>
      </w:r>
      <w:r>
        <w:t xml:space="preserve"> </w:t>
      </w:r>
      <w:r w:rsidR="00997893">
        <w:t>PIE</w:t>
      </w:r>
      <w:r w:rsidR="00997893" w:rsidRPr="00ED5A86">
        <w:rPr>
          <w:vertAlign w:val="subscript"/>
        </w:rPr>
        <w:t>bg</w:t>
      </w:r>
      <w:bookmarkEnd w:id="25"/>
      <w:r w:rsidR="00A33A45">
        <w:t xml:space="preserve"> </w:t>
      </w:r>
    </w:p>
    <w:p w14:paraId="681EBEF1" w14:textId="538DAE38" w:rsidR="00F75D0F" w:rsidRDefault="00F75D0F" w:rsidP="00F75D0F">
      <w:pPr>
        <w:pStyle w:val="BodyText"/>
      </w:pPr>
      <w:r>
        <w:t>This is section we present the results of our testing</w:t>
      </w:r>
      <w:r w:rsidR="001B08FD">
        <w:t>, comparison,</w:t>
      </w:r>
      <w:r>
        <w:t xml:space="preserve"> and analysis of </w:t>
      </w:r>
      <w:r w:rsidR="001B08FD" w:rsidRPr="00A92117">
        <w:rPr>
          <w:noProof/>
        </w:rPr>
        <w:t>both</w:t>
      </w:r>
      <w:r w:rsidR="004C0800">
        <w:t xml:space="preserve"> walkability measure</w:t>
      </w:r>
      <w:r w:rsidR="001B08FD">
        <w:t>s</w:t>
      </w:r>
      <w:r>
        <w:t xml:space="preserve"> PIE</w:t>
      </w:r>
      <w:r w:rsidR="001B08FD">
        <w:rPr>
          <w:vertAlign w:val="subscript"/>
        </w:rPr>
        <w:t>0</w:t>
      </w:r>
      <w:r w:rsidR="001B08FD">
        <w:t xml:space="preserve"> and PIE</w:t>
      </w:r>
      <w:r w:rsidR="001B08FD">
        <w:rPr>
          <w:vertAlign w:val="subscript"/>
        </w:rPr>
        <w:t>bg</w:t>
      </w:r>
      <w:r>
        <w:t xml:space="preserve"> constructed at different scales and with different data inputs. First, we compare our </w:t>
      </w:r>
      <w:r w:rsidR="001B08FD">
        <w:t>both walkability measures</w:t>
      </w:r>
      <w:r>
        <w:t>. Then, we test the relationship between PIE</w:t>
      </w:r>
      <w:r w:rsidRPr="00F75D0F">
        <w:rPr>
          <w:vertAlign w:val="subscript"/>
        </w:rPr>
        <w:t>bg</w:t>
      </w:r>
      <w:r>
        <w:t xml:space="preserve"> and walking within the Portland region to investigate whether one walkabi</w:t>
      </w:r>
      <w:r w:rsidR="004C0800">
        <w:t xml:space="preserve">lity measure is suitable for all urban contexts within one region. Or said differently, we are testing whether there is a different behavior response to PIE in urban vs. suburban areas. </w:t>
      </w:r>
      <w:r w:rsidR="003E762A">
        <w:t xml:space="preserve">Finally, we introduce a more extensive analysis that includes different cities in the US. Our aim here is to </w:t>
      </w:r>
      <w:r w:rsidR="007B0A97" w:rsidRPr="003E762A">
        <w:t>test the inter-regional transferability by examining how these measures perform in different metropolitan areas of the US</w:t>
      </w:r>
      <w:r w:rsidR="00B62D8A" w:rsidRPr="003E762A">
        <w:t>.</w:t>
      </w:r>
    </w:p>
    <w:p w14:paraId="6D47B77F" w14:textId="38DC6490" w:rsidR="004C0800" w:rsidRDefault="004C0800" w:rsidP="004C0800">
      <w:pPr>
        <w:pStyle w:val="Heading2"/>
      </w:pPr>
      <w:bookmarkStart w:id="26" w:name="_Toc2003602"/>
      <w:r>
        <w:t>Comparing PIE</w:t>
      </w:r>
      <w:r w:rsidRPr="004C0800">
        <w:rPr>
          <w:vertAlign w:val="subscript"/>
        </w:rPr>
        <w:t>bg</w:t>
      </w:r>
      <w:r>
        <w:t xml:space="preserve"> and PIE</w:t>
      </w:r>
      <w:r w:rsidRPr="004C0800">
        <w:rPr>
          <w:vertAlign w:val="subscript"/>
        </w:rPr>
        <w:t>0</w:t>
      </w:r>
      <w:bookmarkEnd w:id="26"/>
    </w:p>
    <w:p w14:paraId="051F4B27" w14:textId="733B36B8" w:rsidR="00F75D0F" w:rsidRDefault="00471AD7" w:rsidP="00F75D0F">
      <w:r>
        <w:t>To compare the new measures of the walkability PIE</w:t>
      </w:r>
      <w:r w:rsidRPr="00471AD7">
        <w:rPr>
          <w:vertAlign w:val="subscript"/>
        </w:rPr>
        <w:t>bg</w:t>
      </w:r>
      <w:r>
        <w:t xml:space="preserve"> constructed at the block group scale with nationally available data to the original measure PIE</w:t>
      </w:r>
      <w:r w:rsidRPr="00471AD7">
        <w:rPr>
          <w:vertAlign w:val="subscript"/>
        </w:rPr>
        <w:t>0</w:t>
      </w:r>
      <w:r>
        <w:t xml:space="preserve"> </w:t>
      </w:r>
      <w:r w:rsidR="005B0B73">
        <w:t>at a finer scale with region-specific data, we needed to compute PIE</w:t>
      </w:r>
      <w:r w:rsidR="005B0B73" w:rsidRPr="005B0B73">
        <w:rPr>
          <w:vertAlign w:val="subscript"/>
        </w:rPr>
        <w:t>bg</w:t>
      </w:r>
      <w:r w:rsidR="005B0B73">
        <w:t xml:space="preserve"> for the Portland region. </w:t>
      </w:r>
      <w:r w:rsidR="00E92128">
        <w:t xml:space="preserve">The </w:t>
      </w:r>
      <w:r w:rsidR="005B0B73">
        <w:t xml:space="preserve">distributions of </w:t>
      </w:r>
      <w:r w:rsidR="00E92128">
        <w:t>various d</w:t>
      </w:r>
      <w:r w:rsidR="008A5DA9" w:rsidRPr="00E92128">
        <w:t xml:space="preserve">ata </w:t>
      </w:r>
      <w:r w:rsidR="00E92128">
        <w:t xml:space="preserve">used to </w:t>
      </w:r>
      <w:r w:rsidR="00E92128">
        <w:lastRenderedPageBreak/>
        <w:t xml:space="preserve">construct </w:t>
      </w:r>
      <w:r w:rsidR="008A5DA9" w:rsidRPr="00E92128">
        <w:t>PIE</w:t>
      </w:r>
      <w:r w:rsidR="008A5DA9" w:rsidRPr="00E92128">
        <w:rPr>
          <w:vertAlign w:val="subscript"/>
        </w:rPr>
        <w:t>bg</w:t>
      </w:r>
      <w:r w:rsidR="008A5DA9" w:rsidRPr="00E92128">
        <w:t xml:space="preserve"> in </w:t>
      </w:r>
      <w:r w:rsidR="00E92128">
        <w:t>P</w:t>
      </w:r>
      <w:r w:rsidR="008A5DA9" w:rsidRPr="00E92128">
        <w:t>ortland</w:t>
      </w:r>
      <w:r w:rsidR="008A5DA9">
        <w:t xml:space="preserve"> </w:t>
      </w:r>
      <w:r w:rsidR="00E92128">
        <w:t xml:space="preserve">are shown in </w:t>
      </w:r>
      <w:r w:rsidR="008A5DA9">
        <w:fldChar w:fldCharType="begin"/>
      </w:r>
      <w:r w:rsidR="008A5DA9">
        <w:instrText xml:space="preserve"> REF _Ref511734391 \h </w:instrText>
      </w:r>
      <w:r w:rsidR="008A5DA9">
        <w:fldChar w:fldCharType="separate"/>
      </w:r>
      <w:r w:rsidR="008A5DA9">
        <w:t xml:space="preserve">Figure </w:t>
      </w:r>
      <w:r w:rsidR="008A5DA9">
        <w:rPr>
          <w:noProof/>
        </w:rPr>
        <w:t>3</w:t>
      </w:r>
      <w:r w:rsidR="008A5DA9">
        <w:fldChar w:fldCharType="end"/>
      </w:r>
      <w:r w:rsidR="00E92128">
        <w:t>.</w:t>
      </w:r>
      <w:r w:rsidR="008A5DA9">
        <w:t xml:space="preserve"> </w:t>
      </w:r>
      <w:r w:rsidR="00142DCC">
        <w:t>ULI</w:t>
      </w:r>
      <w:r w:rsidR="00E92128">
        <w:t>, shown in orange,</w:t>
      </w:r>
      <w:r w:rsidR="00F75D0F">
        <w:t xml:space="preserve"> </w:t>
      </w:r>
      <w:r w:rsidR="00E92128">
        <w:t xml:space="preserve">has a </w:t>
      </w:r>
      <w:r w:rsidR="00F75D0F">
        <w:t>highly positive skew, meaning that there are very few block groups with</w:t>
      </w:r>
      <w:r w:rsidR="00E92128">
        <w:t xml:space="preserve"> scores above 2 and most of the block groups have low </w:t>
      </w:r>
      <w:r w:rsidR="00142DCC">
        <w:t>ULI score</w:t>
      </w:r>
      <w:r w:rsidR="00E92128">
        <w:t xml:space="preserve"> with a score of 1</w:t>
      </w:r>
      <w:r w:rsidR="00F75D0F">
        <w:t xml:space="preserve">. The people density </w:t>
      </w:r>
      <w:r w:rsidR="00E92128">
        <w:t xml:space="preserve">measure, shown in green, </w:t>
      </w:r>
      <w:r w:rsidR="00F75D0F">
        <w:t>is less skewed, but also show</w:t>
      </w:r>
      <w:r w:rsidR="00E92128">
        <w:t>s</w:t>
      </w:r>
      <w:r w:rsidR="00F75D0F">
        <w:t xml:space="preserve"> a large concentration of low value</w:t>
      </w:r>
      <w:r w:rsidR="00E92128">
        <w:t>s</w:t>
      </w:r>
      <w:r w:rsidR="00F75D0F">
        <w:t xml:space="preserve">. This means that </w:t>
      </w:r>
      <w:r w:rsidR="00EA56A3">
        <w:t xml:space="preserve">high values of </w:t>
      </w:r>
      <w:r w:rsidR="00F75D0F">
        <w:t xml:space="preserve">both of </w:t>
      </w:r>
      <w:r w:rsidR="00EA56A3">
        <w:t xml:space="preserve">these </w:t>
      </w:r>
      <w:r w:rsidR="00F75D0F">
        <w:t xml:space="preserve">measures are scarce in the total composition of the </w:t>
      </w:r>
      <w:r w:rsidR="00EA56A3">
        <w:t>region</w:t>
      </w:r>
      <w:r w:rsidR="00F75D0F">
        <w:t xml:space="preserve">. </w:t>
      </w:r>
      <w:r w:rsidR="00E92128">
        <w:t xml:space="preserve">Transit access, shown in pink, is also skewed to be high in very few places. </w:t>
      </w:r>
      <w:r w:rsidR="00F75D0F">
        <w:t xml:space="preserve">The total road network </w:t>
      </w:r>
      <w:r w:rsidR="00E92128">
        <w:t xml:space="preserve">density shown in </w:t>
      </w:r>
      <w:r w:rsidR="00E92128" w:rsidRPr="00A92117">
        <w:rPr>
          <w:noProof/>
        </w:rPr>
        <w:t>purple</w:t>
      </w:r>
      <w:r w:rsidR="00F75D0F">
        <w:t xml:space="preserve"> is the only measure that it distributed more evenly </w:t>
      </w:r>
      <w:r w:rsidR="00E92128">
        <w:t xml:space="preserve">across </w:t>
      </w:r>
      <w:r w:rsidR="00F75D0F">
        <w:t xml:space="preserve">all </w:t>
      </w:r>
      <w:r w:rsidR="00E92128">
        <w:t xml:space="preserve">of </w:t>
      </w:r>
      <w:r w:rsidR="00F75D0F">
        <w:t xml:space="preserve">the values. </w:t>
      </w:r>
      <w:r w:rsidR="00EA56A3">
        <w:t xml:space="preserve">Overall, this distribution makes sense for a region such as Portland, where the total land area is dominated by suburban landscapes and large park reserves with only a few highly urbanized nodes. </w:t>
      </w:r>
      <w:r w:rsidR="00E8338B">
        <w:t>This supports the notion</w:t>
      </w:r>
      <w:r w:rsidR="00F75D0F">
        <w:t xml:space="preserve"> </w:t>
      </w:r>
      <w:r w:rsidR="00E8338B">
        <w:t xml:space="preserve">that the landscape of North American cities may not have enough locations with sufficient densities to support non-automobile travel. </w:t>
      </w:r>
    </w:p>
    <w:p w14:paraId="1C92BC09" w14:textId="4DB53C5B" w:rsidR="00F75D0F" w:rsidRDefault="00F75D0F" w:rsidP="00F75D0F">
      <w:pPr>
        <w:pStyle w:val="BodyText"/>
      </w:pPr>
    </w:p>
    <w:p w14:paraId="1648F916" w14:textId="3A632259" w:rsidR="003E762A" w:rsidRDefault="00983295" w:rsidP="004E6B23">
      <w:pPr>
        <w:pStyle w:val="BodyText"/>
        <w:jc w:val="center"/>
      </w:pPr>
      <w:r>
        <w:pict w14:anchorId="23151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4pt;height:272.25pt">
            <v:imagedata r:id="rId15" o:title="Density"/>
          </v:shape>
        </w:pict>
      </w:r>
    </w:p>
    <w:p w14:paraId="444466D5" w14:textId="0D1AD270" w:rsidR="00F75D0F" w:rsidRPr="00744CA2" w:rsidRDefault="00F75D0F" w:rsidP="00FA1EDF">
      <w:pPr>
        <w:pStyle w:val="Caption"/>
      </w:pPr>
      <w:bookmarkStart w:id="27" w:name="_Ref511734391"/>
      <w:bookmarkStart w:id="28" w:name="_Ref513459544"/>
      <w:bookmarkStart w:id="29" w:name="_Ref511136920"/>
      <w:bookmarkStart w:id="30" w:name="_Toc2003580"/>
      <w:r>
        <w:t xml:space="preserve">Figure </w:t>
      </w:r>
      <w:fldSimple w:instr=" SEQ Figure \* ARABIC ">
        <w:r w:rsidR="00721680">
          <w:rPr>
            <w:noProof/>
          </w:rPr>
          <w:t>3</w:t>
        </w:r>
      </w:fldSimple>
      <w:bookmarkEnd w:id="27"/>
      <w:r>
        <w:t xml:space="preserve"> Distribution of the scaled attributes of the built environment for PIE</w:t>
      </w:r>
      <w:r>
        <w:rPr>
          <w:vertAlign w:val="subscript"/>
        </w:rPr>
        <w:t>bg</w:t>
      </w:r>
      <w:bookmarkEnd w:id="28"/>
      <w:r w:rsidR="00744CA2">
        <w:rPr>
          <w:vertAlign w:val="subscript"/>
        </w:rPr>
        <w:t xml:space="preserve"> </w:t>
      </w:r>
      <w:r w:rsidR="00744CA2">
        <w:t>in Portland, OR</w:t>
      </w:r>
      <w:bookmarkEnd w:id="30"/>
    </w:p>
    <w:p w14:paraId="774590B6" w14:textId="0824C2CF" w:rsidR="00EF1EB3" w:rsidRDefault="005B0B73" w:rsidP="00ED7AFC">
      <w:pPr>
        <w:pStyle w:val="BodyText"/>
      </w:pPr>
      <w:r>
        <w:t>Using these data inputs, PIE</w:t>
      </w:r>
      <w:r w:rsidRPr="005B0B73">
        <w:rPr>
          <w:vertAlign w:val="subscript"/>
        </w:rPr>
        <w:t>bg</w:t>
      </w:r>
      <w:r>
        <w:t xml:space="preserve"> was computed using the process outlined in the previous section. The resulting coefficients from the univariate binary logit models of walk mode choice for each built environment measure </w:t>
      </w:r>
      <w:r w:rsidR="002F68A4">
        <w:t xml:space="preserve">are shown in </w:t>
      </w:r>
      <w:r w:rsidR="002F68A4">
        <w:fldChar w:fldCharType="begin"/>
      </w:r>
      <w:r w:rsidR="002F68A4">
        <w:instrText xml:space="preserve"> REF _Ref513715450 \h </w:instrText>
      </w:r>
      <w:r w:rsidR="002F68A4">
        <w:fldChar w:fldCharType="separate"/>
      </w:r>
      <w:r w:rsidR="002F68A4">
        <w:t xml:space="preserve">Table </w:t>
      </w:r>
      <w:r w:rsidR="002F68A4">
        <w:rPr>
          <w:noProof/>
        </w:rPr>
        <w:t>2</w:t>
      </w:r>
      <w:r w:rsidR="002F68A4">
        <w:fldChar w:fldCharType="end"/>
      </w:r>
      <w:r w:rsidR="002F68A4">
        <w:t xml:space="preserve">. </w:t>
      </w:r>
      <w:r w:rsidR="00ED7AFC">
        <w:t>The estimated coefficients range between 0.5-0.7 with the total road network density showing the highest</w:t>
      </w:r>
      <w:r w:rsidR="00EF1EB3">
        <w:t xml:space="preserve"> coefficient value</w:t>
      </w:r>
      <w:r w:rsidR="00ED7AFC">
        <w:t xml:space="preserve">. </w:t>
      </w:r>
      <w:r w:rsidR="002F68A4">
        <w:t>These coefficients are used to weight each individual measure in the construction of PIE, after scaling to give PIE a range of values between 20 and 100.</w:t>
      </w:r>
    </w:p>
    <w:p w14:paraId="055223D8" w14:textId="1E31D536" w:rsidR="003E762A" w:rsidRDefault="003E762A" w:rsidP="00ED7AFC">
      <w:pPr>
        <w:pStyle w:val="BodyText"/>
      </w:pPr>
    </w:p>
    <w:p w14:paraId="1D0E9F41" w14:textId="2ACB7617" w:rsidR="00ED7AFC" w:rsidRPr="00A731EB" w:rsidRDefault="00E12676" w:rsidP="00FA1EDF">
      <w:pPr>
        <w:pStyle w:val="Caption"/>
      </w:pPr>
      <w:r>
        <w:lastRenderedPageBreak/>
        <w:t xml:space="preserve"> </w:t>
      </w:r>
      <w:bookmarkStart w:id="31" w:name="_Toc2003591"/>
      <w:r w:rsidR="0078588B">
        <w:t xml:space="preserve">Table </w:t>
      </w:r>
      <w:r w:rsidR="001D2758">
        <w:rPr>
          <w:noProof/>
        </w:rPr>
        <w:fldChar w:fldCharType="begin"/>
      </w:r>
      <w:r w:rsidR="001D2758">
        <w:rPr>
          <w:noProof/>
        </w:rPr>
        <w:instrText xml:space="preserve"> SEQ Table \* ARABIC </w:instrText>
      </w:r>
      <w:r w:rsidR="001D2758">
        <w:rPr>
          <w:noProof/>
        </w:rPr>
        <w:fldChar w:fldCharType="separate"/>
      </w:r>
      <w:r w:rsidR="0078588B">
        <w:rPr>
          <w:noProof/>
        </w:rPr>
        <w:t>2</w:t>
      </w:r>
      <w:r w:rsidR="001D2758">
        <w:rPr>
          <w:noProof/>
        </w:rPr>
        <w:fldChar w:fldCharType="end"/>
      </w:r>
      <w:r w:rsidR="0078588B">
        <w:t xml:space="preserve"> </w:t>
      </w:r>
      <w:r w:rsidR="00ED7AFC">
        <w:t>PIE</w:t>
      </w:r>
      <w:r w:rsidR="00ED7AFC" w:rsidRPr="00772CE4">
        <w:rPr>
          <w:vertAlign w:val="subscript"/>
        </w:rPr>
        <w:t>bg</w:t>
      </w:r>
      <w:r w:rsidR="00ED7AFC">
        <w:t xml:space="preserve"> estimation results: b</w:t>
      </w:r>
      <w:r w:rsidR="00ED7AFC" w:rsidRPr="00A731EB">
        <w:t xml:space="preserve">inary </w:t>
      </w:r>
      <w:r w:rsidR="00ED7AFC">
        <w:t>l</w:t>
      </w:r>
      <w:r w:rsidR="00ED7AFC" w:rsidRPr="00A731EB">
        <w:t xml:space="preserve">ogit </w:t>
      </w:r>
      <w:r w:rsidR="00ED7AFC">
        <w:t>m</w:t>
      </w:r>
      <w:r w:rsidR="00ED7AFC" w:rsidRPr="00A731EB">
        <w:t xml:space="preserve">odels </w:t>
      </w:r>
      <w:r w:rsidR="00ED7AFC">
        <w:t>of walk mode share</w:t>
      </w:r>
      <w:bookmarkEnd w:id="31"/>
      <w:r w:rsidR="00ED7AFC">
        <w:t xml:space="preserve"> </w:t>
      </w:r>
    </w:p>
    <w:tbl>
      <w:tblPr>
        <w:tblW w:w="9360" w:type="dxa"/>
        <w:tblLook w:val="04A0" w:firstRow="1" w:lastRow="0" w:firstColumn="1" w:lastColumn="0" w:noHBand="0" w:noVBand="1"/>
      </w:tblPr>
      <w:tblGrid>
        <w:gridCol w:w="2382"/>
        <w:gridCol w:w="2747"/>
        <w:gridCol w:w="1149"/>
        <w:gridCol w:w="1577"/>
        <w:gridCol w:w="1505"/>
      </w:tblGrid>
      <w:tr w:rsidR="00E12676" w:rsidRPr="00DB7E02" w14:paraId="1D1FBDBB" w14:textId="77777777" w:rsidTr="00E12676">
        <w:trPr>
          <w:trHeight w:val="466"/>
        </w:trPr>
        <w:tc>
          <w:tcPr>
            <w:tcW w:w="5129" w:type="dxa"/>
            <w:gridSpan w:val="2"/>
            <w:tcBorders>
              <w:top w:val="single" w:sz="4" w:space="0" w:color="auto"/>
              <w:bottom w:val="single" w:sz="4" w:space="0" w:color="auto"/>
            </w:tcBorders>
            <w:shd w:val="clear" w:color="auto" w:fill="auto"/>
            <w:noWrap/>
            <w:vAlign w:val="bottom"/>
            <w:hideMark/>
          </w:tcPr>
          <w:p w14:paraId="55004087" w14:textId="77777777" w:rsidR="00ED7AFC" w:rsidRPr="00DB7E02" w:rsidRDefault="00ED7AFC" w:rsidP="002930B5">
            <w:pPr>
              <w:keepNext/>
              <w:widowControl w:val="0"/>
              <w:jc w:val="center"/>
              <w:rPr>
                <w:b/>
                <w:bCs/>
                <w:color w:val="000000"/>
                <w:sz w:val="20"/>
              </w:rPr>
            </w:pPr>
            <w:r>
              <w:rPr>
                <w:b/>
                <w:bCs/>
                <w:color w:val="000000"/>
                <w:sz w:val="20"/>
              </w:rPr>
              <w:t>Built Environment</w:t>
            </w:r>
            <w:r w:rsidRPr="00DB7E02">
              <w:rPr>
                <w:b/>
                <w:bCs/>
                <w:color w:val="000000"/>
                <w:sz w:val="20"/>
              </w:rPr>
              <w:t xml:space="preserve"> </w:t>
            </w:r>
            <w:r>
              <w:rPr>
                <w:b/>
                <w:bCs/>
                <w:color w:val="000000"/>
                <w:sz w:val="20"/>
              </w:rPr>
              <w:t>v</w:t>
            </w:r>
            <w:r w:rsidRPr="00DB7E02">
              <w:rPr>
                <w:b/>
                <w:bCs/>
                <w:color w:val="000000"/>
                <w:sz w:val="20"/>
              </w:rPr>
              <w:t>ariable (</w:t>
            </w:r>
            <w:r>
              <w:rPr>
                <w:b/>
                <w:bCs/>
                <w:i/>
                <w:color w:val="000000"/>
                <w:sz w:val="20"/>
              </w:rPr>
              <w:t>z</w:t>
            </w:r>
            <w:r w:rsidRPr="00DB7E02">
              <w:rPr>
                <w:b/>
                <w:bCs/>
                <w:color w:val="000000"/>
                <w:sz w:val="20"/>
                <w:vertAlign w:val="subscript"/>
              </w:rPr>
              <w:t>n</w:t>
            </w:r>
            <w:r w:rsidRPr="00DB7E02">
              <w:rPr>
                <w:b/>
                <w:bCs/>
                <w:color w:val="000000"/>
                <w:sz w:val="20"/>
              </w:rPr>
              <w:t>)</w:t>
            </w:r>
          </w:p>
        </w:tc>
        <w:tc>
          <w:tcPr>
            <w:tcW w:w="1148" w:type="dxa"/>
            <w:tcBorders>
              <w:top w:val="single" w:sz="4" w:space="0" w:color="auto"/>
              <w:bottom w:val="single" w:sz="4" w:space="0" w:color="auto"/>
            </w:tcBorders>
            <w:shd w:val="clear" w:color="auto" w:fill="auto"/>
            <w:noWrap/>
            <w:vAlign w:val="bottom"/>
            <w:hideMark/>
          </w:tcPr>
          <w:p w14:paraId="05B85290" w14:textId="77777777" w:rsidR="00ED7AFC" w:rsidRPr="00DB7E02" w:rsidRDefault="00ED7AFC" w:rsidP="002930B5">
            <w:pPr>
              <w:keepNext/>
              <w:widowControl w:val="0"/>
              <w:jc w:val="center"/>
              <w:rPr>
                <w:b/>
                <w:bCs/>
                <w:color w:val="000000"/>
                <w:sz w:val="20"/>
              </w:rPr>
            </w:pPr>
            <w:r w:rsidRPr="00DB7E02">
              <w:rPr>
                <w:b/>
                <w:bCs/>
                <w:color w:val="000000"/>
                <w:sz w:val="20"/>
              </w:rPr>
              <w:t>Coefficient (</w:t>
            </w:r>
            <w:r w:rsidRPr="00DB7E02">
              <w:rPr>
                <w:b/>
                <w:bCs/>
                <w:i/>
                <w:color w:val="000000"/>
                <w:sz w:val="20"/>
              </w:rPr>
              <w:t>β</w:t>
            </w:r>
            <w:r w:rsidRPr="00DB7E02">
              <w:rPr>
                <w:b/>
                <w:bCs/>
                <w:color w:val="000000"/>
                <w:sz w:val="20"/>
              </w:rPr>
              <w:t>)</w:t>
            </w:r>
          </w:p>
        </w:tc>
        <w:tc>
          <w:tcPr>
            <w:tcW w:w="1577" w:type="dxa"/>
            <w:tcBorders>
              <w:top w:val="single" w:sz="4" w:space="0" w:color="auto"/>
              <w:bottom w:val="single" w:sz="4" w:space="0" w:color="auto"/>
            </w:tcBorders>
            <w:shd w:val="clear" w:color="auto" w:fill="auto"/>
            <w:noWrap/>
            <w:vAlign w:val="bottom"/>
            <w:hideMark/>
          </w:tcPr>
          <w:p w14:paraId="0B4417C9" w14:textId="77777777" w:rsidR="00ED7AFC" w:rsidRPr="00DB7E02" w:rsidRDefault="00ED7AFC" w:rsidP="002930B5">
            <w:pPr>
              <w:keepNext/>
              <w:widowControl w:val="0"/>
              <w:jc w:val="center"/>
              <w:rPr>
                <w:b/>
                <w:bCs/>
                <w:color w:val="000000"/>
                <w:sz w:val="20"/>
              </w:rPr>
            </w:pPr>
            <w:r w:rsidRPr="00DB7E02">
              <w:rPr>
                <w:b/>
                <w:bCs/>
                <w:color w:val="000000"/>
                <w:sz w:val="20"/>
              </w:rPr>
              <w:t>p-value</w:t>
            </w:r>
          </w:p>
        </w:tc>
        <w:tc>
          <w:tcPr>
            <w:tcW w:w="1501" w:type="dxa"/>
            <w:tcBorders>
              <w:top w:val="single" w:sz="4" w:space="0" w:color="auto"/>
              <w:bottom w:val="single" w:sz="4" w:space="0" w:color="auto"/>
            </w:tcBorders>
            <w:shd w:val="clear" w:color="auto" w:fill="auto"/>
            <w:vAlign w:val="bottom"/>
            <w:hideMark/>
          </w:tcPr>
          <w:p w14:paraId="4E5139B5" w14:textId="77777777" w:rsidR="00ED7AFC" w:rsidRPr="00DB7E02" w:rsidRDefault="00ED7AFC" w:rsidP="002930B5">
            <w:pPr>
              <w:keepNext/>
              <w:widowControl w:val="0"/>
              <w:jc w:val="center"/>
              <w:rPr>
                <w:b/>
                <w:bCs/>
                <w:color w:val="000000"/>
                <w:sz w:val="20"/>
              </w:rPr>
            </w:pPr>
            <w:r w:rsidRPr="00DB7E02">
              <w:rPr>
                <w:b/>
                <w:bCs/>
                <w:color w:val="000000"/>
                <w:sz w:val="20"/>
              </w:rPr>
              <w:t xml:space="preserve">Model </w:t>
            </w:r>
            <w:r w:rsidRPr="00DB7E02">
              <w:rPr>
                <w:b/>
                <w:bCs/>
                <w:color w:val="000000"/>
                <w:sz w:val="20"/>
              </w:rPr>
              <w:br/>
              <w:t>pseudo-R</w:t>
            </w:r>
            <w:r w:rsidRPr="00DB7E02">
              <w:rPr>
                <w:b/>
                <w:bCs/>
                <w:color w:val="000000"/>
                <w:sz w:val="20"/>
                <w:vertAlign w:val="superscript"/>
              </w:rPr>
              <w:t>2</w:t>
            </w:r>
          </w:p>
        </w:tc>
      </w:tr>
      <w:tr w:rsidR="00E12676" w:rsidRPr="00DB7E02" w14:paraId="7BE902D2" w14:textId="77777777" w:rsidTr="00E12676">
        <w:trPr>
          <w:trHeight w:val="144"/>
        </w:trPr>
        <w:tc>
          <w:tcPr>
            <w:tcW w:w="5129" w:type="dxa"/>
            <w:gridSpan w:val="2"/>
            <w:tcBorders>
              <w:top w:val="single" w:sz="4" w:space="0" w:color="auto"/>
            </w:tcBorders>
            <w:shd w:val="clear" w:color="auto" w:fill="auto"/>
            <w:noWrap/>
            <w:vAlign w:val="bottom"/>
          </w:tcPr>
          <w:p w14:paraId="65BE74C4" w14:textId="77777777" w:rsidR="00ED7AFC" w:rsidRPr="00DB7E02" w:rsidRDefault="00ED7AFC" w:rsidP="002930B5">
            <w:pPr>
              <w:keepNext/>
              <w:widowControl w:val="0"/>
              <w:rPr>
                <w:b/>
                <w:bCs/>
                <w:i/>
                <w:color w:val="000000"/>
                <w:sz w:val="20"/>
              </w:rPr>
            </w:pPr>
            <w:r w:rsidRPr="00DB7E02">
              <w:rPr>
                <w:b/>
                <w:bCs/>
                <w:i/>
                <w:color w:val="000000"/>
                <w:sz w:val="20"/>
              </w:rPr>
              <w:t>Model 1</w:t>
            </w:r>
          </w:p>
        </w:tc>
        <w:tc>
          <w:tcPr>
            <w:tcW w:w="1148" w:type="dxa"/>
            <w:tcBorders>
              <w:top w:val="single" w:sz="4" w:space="0" w:color="auto"/>
            </w:tcBorders>
            <w:shd w:val="clear" w:color="auto" w:fill="auto"/>
            <w:noWrap/>
            <w:vAlign w:val="bottom"/>
          </w:tcPr>
          <w:p w14:paraId="56926821" w14:textId="77777777" w:rsidR="00ED7AFC" w:rsidRPr="00DB7E02" w:rsidRDefault="00ED7AFC" w:rsidP="002930B5">
            <w:pPr>
              <w:keepNext/>
              <w:widowControl w:val="0"/>
              <w:jc w:val="center"/>
              <w:rPr>
                <w:b/>
                <w:bCs/>
                <w:i/>
                <w:color w:val="000000"/>
                <w:sz w:val="20"/>
              </w:rPr>
            </w:pPr>
          </w:p>
        </w:tc>
        <w:tc>
          <w:tcPr>
            <w:tcW w:w="1577" w:type="dxa"/>
            <w:tcBorders>
              <w:top w:val="single" w:sz="4" w:space="0" w:color="auto"/>
            </w:tcBorders>
            <w:shd w:val="clear" w:color="auto" w:fill="auto"/>
            <w:noWrap/>
            <w:vAlign w:val="bottom"/>
          </w:tcPr>
          <w:p w14:paraId="49B1AD87" w14:textId="77777777" w:rsidR="00ED7AFC" w:rsidRPr="00DB7E02" w:rsidRDefault="00ED7AFC" w:rsidP="002930B5">
            <w:pPr>
              <w:keepNext/>
              <w:widowControl w:val="0"/>
              <w:jc w:val="center"/>
              <w:rPr>
                <w:b/>
                <w:bCs/>
                <w:i/>
                <w:color w:val="000000"/>
                <w:sz w:val="20"/>
              </w:rPr>
            </w:pPr>
          </w:p>
        </w:tc>
        <w:tc>
          <w:tcPr>
            <w:tcW w:w="1501" w:type="dxa"/>
            <w:tcBorders>
              <w:top w:val="single" w:sz="4" w:space="0" w:color="auto"/>
            </w:tcBorders>
            <w:shd w:val="clear" w:color="auto" w:fill="auto"/>
            <w:noWrap/>
            <w:vAlign w:val="center"/>
          </w:tcPr>
          <w:p w14:paraId="405AF154" w14:textId="77777777" w:rsidR="00ED7AFC" w:rsidRPr="00DB7E02" w:rsidRDefault="00ED7AFC" w:rsidP="002930B5">
            <w:pPr>
              <w:keepNext/>
              <w:widowControl w:val="0"/>
              <w:jc w:val="center"/>
              <w:rPr>
                <w:i/>
                <w:color w:val="000000"/>
                <w:sz w:val="20"/>
              </w:rPr>
            </w:pPr>
            <w:r>
              <w:rPr>
                <w:color w:val="000000"/>
                <w:sz w:val="20"/>
              </w:rPr>
              <w:t>0.03</w:t>
            </w:r>
          </w:p>
        </w:tc>
      </w:tr>
      <w:tr w:rsidR="00E12676" w:rsidRPr="00DB7E02" w14:paraId="256CBAA0" w14:textId="77777777" w:rsidTr="00E12676">
        <w:trPr>
          <w:trHeight w:val="144"/>
        </w:trPr>
        <w:tc>
          <w:tcPr>
            <w:tcW w:w="5129" w:type="dxa"/>
            <w:gridSpan w:val="2"/>
            <w:shd w:val="clear" w:color="auto" w:fill="auto"/>
            <w:noWrap/>
            <w:vAlign w:val="bottom"/>
            <w:hideMark/>
          </w:tcPr>
          <w:p w14:paraId="351E344A" w14:textId="77777777" w:rsidR="00ED7AFC" w:rsidRPr="00DB7E02" w:rsidRDefault="00ED7AFC" w:rsidP="002930B5">
            <w:pPr>
              <w:keepNext/>
              <w:widowControl w:val="0"/>
              <w:ind w:left="215"/>
              <w:rPr>
                <w:bCs/>
                <w:color w:val="000000"/>
                <w:sz w:val="20"/>
              </w:rPr>
            </w:pPr>
            <w:r>
              <w:rPr>
                <w:bCs/>
                <w:color w:val="000000"/>
                <w:sz w:val="20"/>
              </w:rPr>
              <w:t>People (employment and residential) per acre</w:t>
            </w:r>
            <w:r w:rsidRPr="00DB7E02">
              <w:rPr>
                <w:bCs/>
                <w:color w:val="000000"/>
                <w:sz w:val="20"/>
              </w:rPr>
              <w:t xml:space="preserve"> </w:t>
            </w:r>
            <w:r>
              <w:rPr>
                <w:bCs/>
                <w:color w:val="000000"/>
                <w:sz w:val="20"/>
              </w:rPr>
              <w:t>[1-5]</w:t>
            </w:r>
          </w:p>
        </w:tc>
        <w:tc>
          <w:tcPr>
            <w:tcW w:w="1148" w:type="dxa"/>
            <w:shd w:val="clear" w:color="auto" w:fill="auto"/>
            <w:noWrap/>
            <w:vAlign w:val="bottom"/>
            <w:hideMark/>
          </w:tcPr>
          <w:p w14:paraId="62C8DA6A" w14:textId="77777777" w:rsidR="00ED7AFC" w:rsidRPr="00DB7E02" w:rsidRDefault="00ED7AFC" w:rsidP="002930B5">
            <w:pPr>
              <w:keepNext/>
              <w:widowControl w:val="0"/>
              <w:jc w:val="center"/>
              <w:rPr>
                <w:bCs/>
                <w:color w:val="000000"/>
                <w:sz w:val="20"/>
              </w:rPr>
            </w:pPr>
            <w:r>
              <w:rPr>
                <w:bCs/>
                <w:color w:val="000000"/>
                <w:sz w:val="20"/>
              </w:rPr>
              <w:t>0.52</w:t>
            </w:r>
          </w:p>
        </w:tc>
        <w:tc>
          <w:tcPr>
            <w:tcW w:w="1577" w:type="dxa"/>
            <w:shd w:val="clear" w:color="auto" w:fill="auto"/>
            <w:noWrap/>
            <w:vAlign w:val="bottom"/>
            <w:hideMark/>
          </w:tcPr>
          <w:p w14:paraId="4E70050D" w14:textId="77777777" w:rsidR="00ED7AFC" w:rsidRPr="00DB7E02" w:rsidRDefault="00ED7AFC" w:rsidP="002930B5">
            <w:pPr>
              <w:keepNext/>
              <w:widowControl w:val="0"/>
              <w:jc w:val="center"/>
              <w:rPr>
                <w:bCs/>
                <w:color w:val="000000"/>
                <w:sz w:val="20"/>
              </w:rPr>
            </w:pPr>
            <w:r w:rsidRPr="00DB7E02">
              <w:rPr>
                <w:bCs/>
                <w:color w:val="000000"/>
                <w:sz w:val="20"/>
              </w:rPr>
              <w:t>0.00</w:t>
            </w:r>
          </w:p>
        </w:tc>
        <w:tc>
          <w:tcPr>
            <w:tcW w:w="1501" w:type="dxa"/>
            <w:vMerge w:val="restart"/>
            <w:shd w:val="clear" w:color="auto" w:fill="auto"/>
            <w:noWrap/>
            <w:vAlign w:val="center"/>
            <w:hideMark/>
          </w:tcPr>
          <w:p w14:paraId="3A7E96D2" w14:textId="77777777" w:rsidR="00ED7AFC" w:rsidRPr="00DB7E02" w:rsidRDefault="00ED7AFC" w:rsidP="002930B5">
            <w:pPr>
              <w:keepNext/>
              <w:widowControl w:val="0"/>
              <w:jc w:val="center"/>
              <w:rPr>
                <w:color w:val="000000"/>
                <w:sz w:val="20"/>
              </w:rPr>
            </w:pPr>
          </w:p>
        </w:tc>
      </w:tr>
      <w:tr w:rsidR="00E12676" w:rsidRPr="00DB7E02" w14:paraId="18B9DD69" w14:textId="77777777" w:rsidTr="00E12676">
        <w:trPr>
          <w:trHeight w:val="144"/>
        </w:trPr>
        <w:tc>
          <w:tcPr>
            <w:tcW w:w="5129" w:type="dxa"/>
            <w:gridSpan w:val="2"/>
            <w:shd w:val="clear" w:color="auto" w:fill="auto"/>
            <w:noWrap/>
            <w:vAlign w:val="bottom"/>
            <w:hideMark/>
          </w:tcPr>
          <w:p w14:paraId="574058C7" w14:textId="77777777" w:rsidR="00ED7AFC" w:rsidRPr="00DB7E02" w:rsidRDefault="00ED7AFC" w:rsidP="002930B5">
            <w:pPr>
              <w:keepNext/>
              <w:widowControl w:val="0"/>
              <w:ind w:left="215"/>
              <w:rPr>
                <w:color w:val="000000"/>
                <w:sz w:val="20"/>
              </w:rPr>
            </w:pPr>
            <w:r w:rsidRPr="00DB7E02">
              <w:rPr>
                <w:color w:val="000000"/>
                <w:sz w:val="20"/>
              </w:rPr>
              <w:t>Constant</w:t>
            </w:r>
          </w:p>
        </w:tc>
        <w:tc>
          <w:tcPr>
            <w:tcW w:w="1148" w:type="dxa"/>
            <w:shd w:val="clear" w:color="auto" w:fill="auto"/>
            <w:noWrap/>
            <w:vAlign w:val="bottom"/>
            <w:hideMark/>
          </w:tcPr>
          <w:p w14:paraId="5A9A9D2A" w14:textId="77777777" w:rsidR="00ED7AFC" w:rsidRPr="00DB7E02" w:rsidRDefault="00ED7AFC" w:rsidP="002930B5">
            <w:pPr>
              <w:keepNext/>
              <w:widowControl w:val="0"/>
              <w:jc w:val="center"/>
              <w:rPr>
                <w:color w:val="000000"/>
                <w:sz w:val="20"/>
              </w:rPr>
            </w:pPr>
            <w:r>
              <w:rPr>
                <w:color w:val="000000"/>
                <w:sz w:val="20"/>
              </w:rPr>
              <w:t>-3.01</w:t>
            </w:r>
          </w:p>
        </w:tc>
        <w:tc>
          <w:tcPr>
            <w:tcW w:w="1577" w:type="dxa"/>
            <w:shd w:val="clear" w:color="auto" w:fill="auto"/>
            <w:noWrap/>
            <w:vAlign w:val="bottom"/>
            <w:hideMark/>
          </w:tcPr>
          <w:p w14:paraId="788C2A0C" w14:textId="77777777" w:rsidR="00ED7AFC" w:rsidRPr="00DB7E02" w:rsidRDefault="00ED7AFC" w:rsidP="002930B5">
            <w:pPr>
              <w:keepNext/>
              <w:widowControl w:val="0"/>
              <w:jc w:val="center"/>
              <w:rPr>
                <w:color w:val="000000"/>
                <w:sz w:val="20"/>
              </w:rPr>
            </w:pPr>
            <w:r w:rsidRPr="00DB7E02">
              <w:rPr>
                <w:color w:val="000000"/>
                <w:sz w:val="20"/>
              </w:rPr>
              <w:t>0.00</w:t>
            </w:r>
          </w:p>
        </w:tc>
        <w:tc>
          <w:tcPr>
            <w:tcW w:w="1501" w:type="dxa"/>
            <w:vMerge/>
            <w:shd w:val="clear" w:color="auto" w:fill="auto"/>
            <w:vAlign w:val="center"/>
            <w:hideMark/>
          </w:tcPr>
          <w:p w14:paraId="34360DBD" w14:textId="77777777" w:rsidR="00ED7AFC" w:rsidRPr="00DB7E02" w:rsidRDefault="00ED7AFC" w:rsidP="002930B5">
            <w:pPr>
              <w:keepNext/>
              <w:widowControl w:val="0"/>
              <w:jc w:val="center"/>
              <w:rPr>
                <w:color w:val="000000"/>
                <w:sz w:val="20"/>
              </w:rPr>
            </w:pPr>
          </w:p>
        </w:tc>
      </w:tr>
      <w:tr w:rsidR="00E12676" w:rsidRPr="00DB7E02" w14:paraId="37DB329C" w14:textId="77777777" w:rsidTr="00E12676">
        <w:trPr>
          <w:trHeight w:val="144"/>
        </w:trPr>
        <w:tc>
          <w:tcPr>
            <w:tcW w:w="5129" w:type="dxa"/>
            <w:gridSpan w:val="2"/>
            <w:shd w:val="clear" w:color="auto" w:fill="auto"/>
            <w:noWrap/>
            <w:vAlign w:val="bottom"/>
          </w:tcPr>
          <w:p w14:paraId="2D6FBF24" w14:textId="77777777" w:rsidR="00ED7AFC" w:rsidRPr="00DB7E02" w:rsidRDefault="00ED7AFC" w:rsidP="002930B5">
            <w:pPr>
              <w:keepNext/>
              <w:widowControl w:val="0"/>
              <w:rPr>
                <w:b/>
                <w:bCs/>
                <w:i/>
                <w:color w:val="000000"/>
                <w:sz w:val="20"/>
              </w:rPr>
            </w:pPr>
            <w:r w:rsidRPr="00DB7E02">
              <w:rPr>
                <w:b/>
                <w:bCs/>
                <w:i/>
                <w:color w:val="000000"/>
                <w:sz w:val="20"/>
              </w:rPr>
              <w:t>Model 2</w:t>
            </w:r>
          </w:p>
        </w:tc>
        <w:tc>
          <w:tcPr>
            <w:tcW w:w="1148" w:type="dxa"/>
            <w:shd w:val="clear" w:color="auto" w:fill="auto"/>
            <w:noWrap/>
            <w:vAlign w:val="bottom"/>
          </w:tcPr>
          <w:p w14:paraId="3304922F" w14:textId="77777777" w:rsidR="00ED7AFC" w:rsidRPr="00DB7E02" w:rsidRDefault="00ED7AFC" w:rsidP="002930B5">
            <w:pPr>
              <w:keepNext/>
              <w:widowControl w:val="0"/>
              <w:jc w:val="center"/>
              <w:rPr>
                <w:b/>
                <w:bCs/>
                <w:i/>
                <w:color w:val="000000"/>
                <w:sz w:val="20"/>
              </w:rPr>
            </w:pPr>
          </w:p>
        </w:tc>
        <w:tc>
          <w:tcPr>
            <w:tcW w:w="1577" w:type="dxa"/>
            <w:shd w:val="clear" w:color="auto" w:fill="auto"/>
            <w:noWrap/>
            <w:vAlign w:val="bottom"/>
          </w:tcPr>
          <w:p w14:paraId="5168E133" w14:textId="77777777" w:rsidR="00ED7AFC" w:rsidRPr="00DB7E02" w:rsidRDefault="00ED7AFC" w:rsidP="002930B5">
            <w:pPr>
              <w:keepNext/>
              <w:widowControl w:val="0"/>
              <w:jc w:val="center"/>
              <w:rPr>
                <w:b/>
                <w:bCs/>
                <w:i/>
                <w:color w:val="000000"/>
                <w:sz w:val="20"/>
              </w:rPr>
            </w:pPr>
          </w:p>
        </w:tc>
        <w:tc>
          <w:tcPr>
            <w:tcW w:w="1501" w:type="dxa"/>
            <w:shd w:val="clear" w:color="auto" w:fill="auto"/>
            <w:noWrap/>
            <w:vAlign w:val="center"/>
          </w:tcPr>
          <w:p w14:paraId="3F945059" w14:textId="77777777" w:rsidR="00ED7AFC" w:rsidRPr="00DB7E02" w:rsidRDefault="00ED7AFC" w:rsidP="002930B5">
            <w:pPr>
              <w:keepNext/>
              <w:widowControl w:val="0"/>
              <w:jc w:val="center"/>
              <w:rPr>
                <w:i/>
                <w:color w:val="000000"/>
                <w:sz w:val="20"/>
              </w:rPr>
            </w:pPr>
            <w:r>
              <w:rPr>
                <w:color w:val="000000"/>
                <w:sz w:val="20"/>
              </w:rPr>
              <w:t>0.02</w:t>
            </w:r>
          </w:p>
        </w:tc>
      </w:tr>
      <w:tr w:rsidR="00E12676" w:rsidRPr="00DB7E02" w14:paraId="30115FAD" w14:textId="77777777" w:rsidTr="00E12676">
        <w:trPr>
          <w:trHeight w:val="144"/>
        </w:trPr>
        <w:tc>
          <w:tcPr>
            <w:tcW w:w="5129" w:type="dxa"/>
            <w:gridSpan w:val="2"/>
            <w:shd w:val="clear" w:color="auto" w:fill="auto"/>
            <w:noWrap/>
            <w:vAlign w:val="bottom"/>
            <w:hideMark/>
          </w:tcPr>
          <w:p w14:paraId="6F316110" w14:textId="40480366" w:rsidR="00ED7AFC" w:rsidRPr="00DB7E02" w:rsidRDefault="00142DCC" w:rsidP="002930B5">
            <w:pPr>
              <w:keepNext/>
              <w:widowControl w:val="0"/>
              <w:ind w:left="215"/>
              <w:rPr>
                <w:bCs/>
                <w:color w:val="000000"/>
                <w:sz w:val="20"/>
              </w:rPr>
            </w:pPr>
            <w:r>
              <w:rPr>
                <w:bCs/>
                <w:color w:val="000000"/>
                <w:sz w:val="20"/>
              </w:rPr>
              <w:t>ULI</w:t>
            </w:r>
            <w:r w:rsidR="00ED7AFC">
              <w:rPr>
                <w:bCs/>
                <w:color w:val="000000"/>
                <w:sz w:val="20"/>
              </w:rPr>
              <w:t xml:space="preserve"> [1-5]</w:t>
            </w:r>
          </w:p>
        </w:tc>
        <w:tc>
          <w:tcPr>
            <w:tcW w:w="1148" w:type="dxa"/>
            <w:shd w:val="clear" w:color="auto" w:fill="auto"/>
            <w:noWrap/>
            <w:vAlign w:val="bottom"/>
            <w:hideMark/>
          </w:tcPr>
          <w:p w14:paraId="54658D36" w14:textId="77777777" w:rsidR="00ED7AFC" w:rsidRPr="00DB7E02" w:rsidRDefault="00ED7AFC" w:rsidP="002930B5">
            <w:pPr>
              <w:keepNext/>
              <w:widowControl w:val="0"/>
              <w:jc w:val="center"/>
              <w:rPr>
                <w:bCs/>
                <w:color w:val="000000"/>
                <w:sz w:val="20"/>
              </w:rPr>
            </w:pPr>
            <w:r>
              <w:rPr>
                <w:bCs/>
                <w:color w:val="000000"/>
                <w:sz w:val="20"/>
              </w:rPr>
              <w:t>0.54</w:t>
            </w:r>
          </w:p>
        </w:tc>
        <w:tc>
          <w:tcPr>
            <w:tcW w:w="1577" w:type="dxa"/>
            <w:shd w:val="clear" w:color="auto" w:fill="auto"/>
            <w:noWrap/>
            <w:vAlign w:val="bottom"/>
            <w:hideMark/>
          </w:tcPr>
          <w:p w14:paraId="56E727C2" w14:textId="77777777" w:rsidR="00ED7AFC" w:rsidRPr="00DB7E02" w:rsidRDefault="00ED7AFC" w:rsidP="002930B5">
            <w:pPr>
              <w:keepNext/>
              <w:widowControl w:val="0"/>
              <w:jc w:val="center"/>
              <w:rPr>
                <w:bCs/>
                <w:color w:val="000000"/>
                <w:sz w:val="20"/>
              </w:rPr>
            </w:pPr>
            <w:r w:rsidRPr="00DB7E02">
              <w:rPr>
                <w:bCs/>
                <w:color w:val="000000"/>
                <w:sz w:val="20"/>
              </w:rPr>
              <w:t>0.00</w:t>
            </w:r>
          </w:p>
        </w:tc>
        <w:tc>
          <w:tcPr>
            <w:tcW w:w="1501" w:type="dxa"/>
            <w:vMerge w:val="restart"/>
            <w:shd w:val="clear" w:color="auto" w:fill="auto"/>
            <w:noWrap/>
            <w:vAlign w:val="center"/>
            <w:hideMark/>
          </w:tcPr>
          <w:p w14:paraId="7CED20D4" w14:textId="77777777" w:rsidR="00ED7AFC" w:rsidRPr="00DB7E02" w:rsidRDefault="00ED7AFC" w:rsidP="002930B5">
            <w:pPr>
              <w:keepNext/>
              <w:widowControl w:val="0"/>
              <w:jc w:val="center"/>
              <w:rPr>
                <w:color w:val="000000"/>
                <w:sz w:val="20"/>
              </w:rPr>
            </w:pPr>
          </w:p>
        </w:tc>
      </w:tr>
      <w:tr w:rsidR="00E12676" w:rsidRPr="00DB7E02" w14:paraId="40ED4A24" w14:textId="77777777" w:rsidTr="00E12676">
        <w:trPr>
          <w:trHeight w:val="144"/>
        </w:trPr>
        <w:tc>
          <w:tcPr>
            <w:tcW w:w="5129" w:type="dxa"/>
            <w:gridSpan w:val="2"/>
            <w:shd w:val="clear" w:color="auto" w:fill="auto"/>
            <w:noWrap/>
            <w:vAlign w:val="bottom"/>
            <w:hideMark/>
          </w:tcPr>
          <w:p w14:paraId="259030AA" w14:textId="77777777" w:rsidR="00ED7AFC" w:rsidRPr="00DB7E02" w:rsidRDefault="00ED7AFC" w:rsidP="002930B5">
            <w:pPr>
              <w:keepNext/>
              <w:widowControl w:val="0"/>
              <w:ind w:left="215"/>
              <w:rPr>
                <w:color w:val="000000"/>
                <w:sz w:val="20"/>
              </w:rPr>
            </w:pPr>
            <w:r w:rsidRPr="00DB7E02">
              <w:rPr>
                <w:color w:val="000000"/>
                <w:sz w:val="20"/>
              </w:rPr>
              <w:t>Constant</w:t>
            </w:r>
          </w:p>
        </w:tc>
        <w:tc>
          <w:tcPr>
            <w:tcW w:w="1148" w:type="dxa"/>
            <w:shd w:val="clear" w:color="auto" w:fill="auto"/>
            <w:noWrap/>
            <w:vAlign w:val="bottom"/>
            <w:hideMark/>
          </w:tcPr>
          <w:p w14:paraId="27A7A1CE" w14:textId="77777777" w:rsidR="00ED7AFC" w:rsidRPr="00DB7E02" w:rsidRDefault="00ED7AFC" w:rsidP="002930B5">
            <w:pPr>
              <w:keepNext/>
              <w:widowControl w:val="0"/>
              <w:jc w:val="center"/>
              <w:rPr>
                <w:color w:val="000000"/>
                <w:sz w:val="20"/>
              </w:rPr>
            </w:pPr>
            <w:r>
              <w:rPr>
                <w:color w:val="000000"/>
                <w:sz w:val="20"/>
              </w:rPr>
              <w:t>-2.94</w:t>
            </w:r>
          </w:p>
        </w:tc>
        <w:tc>
          <w:tcPr>
            <w:tcW w:w="1577" w:type="dxa"/>
            <w:shd w:val="clear" w:color="auto" w:fill="auto"/>
            <w:noWrap/>
            <w:vAlign w:val="bottom"/>
            <w:hideMark/>
          </w:tcPr>
          <w:p w14:paraId="64F73094" w14:textId="77777777" w:rsidR="00ED7AFC" w:rsidRPr="00DB7E02" w:rsidRDefault="00ED7AFC" w:rsidP="002930B5">
            <w:pPr>
              <w:keepNext/>
              <w:widowControl w:val="0"/>
              <w:jc w:val="center"/>
              <w:rPr>
                <w:color w:val="000000"/>
                <w:sz w:val="20"/>
              </w:rPr>
            </w:pPr>
            <w:r w:rsidRPr="00DB7E02">
              <w:rPr>
                <w:color w:val="000000"/>
                <w:sz w:val="20"/>
              </w:rPr>
              <w:t>0.00</w:t>
            </w:r>
          </w:p>
        </w:tc>
        <w:tc>
          <w:tcPr>
            <w:tcW w:w="1501" w:type="dxa"/>
            <w:vMerge/>
            <w:shd w:val="clear" w:color="auto" w:fill="auto"/>
            <w:vAlign w:val="center"/>
            <w:hideMark/>
          </w:tcPr>
          <w:p w14:paraId="7A0F884F" w14:textId="77777777" w:rsidR="00ED7AFC" w:rsidRPr="00DB7E02" w:rsidRDefault="00ED7AFC" w:rsidP="002930B5">
            <w:pPr>
              <w:keepNext/>
              <w:widowControl w:val="0"/>
              <w:jc w:val="center"/>
              <w:rPr>
                <w:color w:val="000000"/>
                <w:sz w:val="20"/>
              </w:rPr>
            </w:pPr>
          </w:p>
        </w:tc>
      </w:tr>
      <w:tr w:rsidR="00E12676" w:rsidRPr="00DB7E02" w14:paraId="0DBEE059" w14:textId="77777777" w:rsidTr="00E12676">
        <w:trPr>
          <w:trHeight w:val="144"/>
        </w:trPr>
        <w:tc>
          <w:tcPr>
            <w:tcW w:w="5129" w:type="dxa"/>
            <w:gridSpan w:val="2"/>
            <w:shd w:val="clear" w:color="auto" w:fill="auto"/>
            <w:noWrap/>
            <w:vAlign w:val="bottom"/>
          </w:tcPr>
          <w:p w14:paraId="6A422243" w14:textId="77777777" w:rsidR="00ED7AFC" w:rsidRPr="00DB7E02" w:rsidRDefault="00ED7AFC" w:rsidP="002930B5">
            <w:pPr>
              <w:keepNext/>
              <w:widowControl w:val="0"/>
              <w:rPr>
                <w:b/>
                <w:bCs/>
                <w:i/>
                <w:color w:val="000000"/>
                <w:sz w:val="20"/>
              </w:rPr>
            </w:pPr>
            <w:r w:rsidRPr="00DB7E02">
              <w:rPr>
                <w:b/>
                <w:bCs/>
                <w:i/>
                <w:color w:val="000000"/>
                <w:sz w:val="20"/>
              </w:rPr>
              <w:t>Model 3</w:t>
            </w:r>
          </w:p>
        </w:tc>
        <w:tc>
          <w:tcPr>
            <w:tcW w:w="1148" w:type="dxa"/>
            <w:shd w:val="clear" w:color="auto" w:fill="auto"/>
            <w:noWrap/>
            <w:vAlign w:val="bottom"/>
          </w:tcPr>
          <w:p w14:paraId="062966B8" w14:textId="77777777" w:rsidR="00ED7AFC" w:rsidRPr="00DB7E02" w:rsidRDefault="00ED7AFC" w:rsidP="002930B5">
            <w:pPr>
              <w:keepNext/>
              <w:widowControl w:val="0"/>
              <w:jc w:val="center"/>
              <w:rPr>
                <w:b/>
                <w:bCs/>
                <w:i/>
                <w:color w:val="000000"/>
                <w:sz w:val="20"/>
              </w:rPr>
            </w:pPr>
          </w:p>
        </w:tc>
        <w:tc>
          <w:tcPr>
            <w:tcW w:w="1577" w:type="dxa"/>
            <w:shd w:val="clear" w:color="auto" w:fill="auto"/>
            <w:noWrap/>
            <w:vAlign w:val="bottom"/>
          </w:tcPr>
          <w:p w14:paraId="7D56566A" w14:textId="77777777" w:rsidR="00ED7AFC" w:rsidRPr="00DB7E02" w:rsidRDefault="00ED7AFC" w:rsidP="002930B5">
            <w:pPr>
              <w:keepNext/>
              <w:widowControl w:val="0"/>
              <w:jc w:val="center"/>
              <w:rPr>
                <w:b/>
                <w:bCs/>
                <w:i/>
                <w:color w:val="000000"/>
                <w:sz w:val="20"/>
              </w:rPr>
            </w:pPr>
          </w:p>
        </w:tc>
        <w:tc>
          <w:tcPr>
            <w:tcW w:w="1501" w:type="dxa"/>
            <w:shd w:val="clear" w:color="auto" w:fill="auto"/>
            <w:noWrap/>
            <w:vAlign w:val="center"/>
          </w:tcPr>
          <w:p w14:paraId="743E1BD6" w14:textId="77777777" w:rsidR="00ED7AFC" w:rsidRPr="00DB7E02" w:rsidRDefault="00ED7AFC" w:rsidP="002930B5">
            <w:pPr>
              <w:keepNext/>
              <w:widowControl w:val="0"/>
              <w:jc w:val="center"/>
              <w:rPr>
                <w:i/>
                <w:color w:val="000000"/>
                <w:sz w:val="20"/>
              </w:rPr>
            </w:pPr>
            <w:r>
              <w:rPr>
                <w:color w:val="000000"/>
                <w:sz w:val="20"/>
              </w:rPr>
              <w:t>0.05</w:t>
            </w:r>
          </w:p>
        </w:tc>
      </w:tr>
      <w:tr w:rsidR="00E12676" w:rsidRPr="00DB7E02" w14:paraId="3ABB80F1" w14:textId="77777777" w:rsidTr="00E12676">
        <w:trPr>
          <w:trHeight w:val="144"/>
        </w:trPr>
        <w:tc>
          <w:tcPr>
            <w:tcW w:w="5129" w:type="dxa"/>
            <w:gridSpan w:val="2"/>
            <w:shd w:val="clear" w:color="auto" w:fill="auto"/>
            <w:noWrap/>
            <w:vAlign w:val="bottom"/>
            <w:hideMark/>
          </w:tcPr>
          <w:p w14:paraId="6EB176B1" w14:textId="77777777" w:rsidR="00ED7AFC" w:rsidRPr="00DB7E02" w:rsidRDefault="00ED7AFC" w:rsidP="002930B5">
            <w:pPr>
              <w:keepNext/>
              <w:widowControl w:val="0"/>
              <w:ind w:left="215"/>
              <w:rPr>
                <w:bCs/>
                <w:color w:val="000000"/>
                <w:sz w:val="20"/>
              </w:rPr>
            </w:pPr>
            <w:r>
              <w:rPr>
                <w:bCs/>
                <w:color w:val="000000"/>
                <w:sz w:val="20"/>
              </w:rPr>
              <w:t>Road network density [1-5]</w:t>
            </w:r>
          </w:p>
        </w:tc>
        <w:tc>
          <w:tcPr>
            <w:tcW w:w="1148" w:type="dxa"/>
            <w:shd w:val="clear" w:color="auto" w:fill="auto"/>
            <w:noWrap/>
            <w:vAlign w:val="bottom"/>
            <w:hideMark/>
          </w:tcPr>
          <w:p w14:paraId="292365A1" w14:textId="77777777" w:rsidR="00ED7AFC" w:rsidRPr="00DB7E02" w:rsidRDefault="00ED7AFC" w:rsidP="002930B5">
            <w:pPr>
              <w:keepNext/>
              <w:widowControl w:val="0"/>
              <w:jc w:val="center"/>
              <w:rPr>
                <w:bCs/>
                <w:color w:val="000000"/>
                <w:sz w:val="20"/>
              </w:rPr>
            </w:pPr>
            <w:r>
              <w:rPr>
                <w:bCs/>
                <w:color w:val="000000"/>
                <w:sz w:val="20"/>
              </w:rPr>
              <w:t>0.69</w:t>
            </w:r>
          </w:p>
        </w:tc>
        <w:tc>
          <w:tcPr>
            <w:tcW w:w="1577" w:type="dxa"/>
            <w:shd w:val="clear" w:color="auto" w:fill="auto"/>
            <w:noWrap/>
            <w:vAlign w:val="bottom"/>
            <w:hideMark/>
          </w:tcPr>
          <w:p w14:paraId="4DFE98BF" w14:textId="77777777" w:rsidR="00ED7AFC" w:rsidRPr="00DB7E02" w:rsidRDefault="00ED7AFC" w:rsidP="002930B5">
            <w:pPr>
              <w:keepNext/>
              <w:widowControl w:val="0"/>
              <w:jc w:val="center"/>
              <w:rPr>
                <w:bCs/>
                <w:color w:val="000000"/>
                <w:sz w:val="20"/>
              </w:rPr>
            </w:pPr>
            <w:r w:rsidRPr="00DB7E02">
              <w:rPr>
                <w:bCs/>
                <w:color w:val="000000"/>
                <w:sz w:val="20"/>
              </w:rPr>
              <w:t>0.00</w:t>
            </w:r>
          </w:p>
        </w:tc>
        <w:tc>
          <w:tcPr>
            <w:tcW w:w="1501" w:type="dxa"/>
            <w:vMerge w:val="restart"/>
            <w:shd w:val="clear" w:color="auto" w:fill="auto"/>
            <w:noWrap/>
            <w:vAlign w:val="center"/>
            <w:hideMark/>
          </w:tcPr>
          <w:p w14:paraId="3B36A743" w14:textId="77777777" w:rsidR="00ED7AFC" w:rsidRPr="00DB7E02" w:rsidRDefault="00ED7AFC" w:rsidP="002930B5">
            <w:pPr>
              <w:keepNext/>
              <w:widowControl w:val="0"/>
              <w:jc w:val="center"/>
              <w:rPr>
                <w:color w:val="000000"/>
                <w:sz w:val="20"/>
              </w:rPr>
            </w:pPr>
          </w:p>
        </w:tc>
      </w:tr>
      <w:tr w:rsidR="00E12676" w:rsidRPr="00DB7E02" w14:paraId="3D83A25E" w14:textId="77777777" w:rsidTr="00E12676">
        <w:trPr>
          <w:trHeight w:val="144"/>
        </w:trPr>
        <w:tc>
          <w:tcPr>
            <w:tcW w:w="5129" w:type="dxa"/>
            <w:gridSpan w:val="2"/>
            <w:shd w:val="clear" w:color="auto" w:fill="auto"/>
            <w:noWrap/>
            <w:vAlign w:val="bottom"/>
            <w:hideMark/>
          </w:tcPr>
          <w:p w14:paraId="464E81F4" w14:textId="77777777" w:rsidR="00ED7AFC" w:rsidRPr="00DB7E02" w:rsidRDefault="00ED7AFC" w:rsidP="002930B5">
            <w:pPr>
              <w:keepNext/>
              <w:widowControl w:val="0"/>
              <w:ind w:left="215"/>
              <w:rPr>
                <w:color w:val="000000"/>
                <w:sz w:val="20"/>
              </w:rPr>
            </w:pPr>
            <w:r w:rsidRPr="00DB7E02">
              <w:rPr>
                <w:color w:val="000000"/>
                <w:sz w:val="20"/>
              </w:rPr>
              <w:t>Constant</w:t>
            </w:r>
          </w:p>
        </w:tc>
        <w:tc>
          <w:tcPr>
            <w:tcW w:w="1148" w:type="dxa"/>
            <w:shd w:val="clear" w:color="auto" w:fill="auto"/>
            <w:noWrap/>
            <w:vAlign w:val="bottom"/>
            <w:hideMark/>
          </w:tcPr>
          <w:p w14:paraId="4CDC56C4" w14:textId="77777777" w:rsidR="00ED7AFC" w:rsidRPr="00DB7E02" w:rsidRDefault="00ED7AFC" w:rsidP="002930B5">
            <w:pPr>
              <w:keepNext/>
              <w:widowControl w:val="0"/>
              <w:jc w:val="center"/>
              <w:rPr>
                <w:color w:val="000000"/>
                <w:sz w:val="20"/>
              </w:rPr>
            </w:pPr>
            <w:r>
              <w:rPr>
                <w:color w:val="000000"/>
                <w:sz w:val="20"/>
              </w:rPr>
              <w:t>-4.12</w:t>
            </w:r>
          </w:p>
        </w:tc>
        <w:tc>
          <w:tcPr>
            <w:tcW w:w="1577" w:type="dxa"/>
            <w:shd w:val="clear" w:color="auto" w:fill="auto"/>
            <w:noWrap/>
            <w:vAlign w:val="bottom"/>
            <w:hideMark/>
          </w:tcPr>
          <w:p w14:paraId="3BF970F9" w14:textId="77777777" w:rsidR="00ED7AFC" w:rsidRPr="00DB7E02" w:rsidRDefault="00ED7AFC" w:rsidP="002930B5">
            <w:pPr>
              <w:keepNext/>
              <w:widowControl w:val="0"/>
              <w:jc w:val="center"/>
              <w:rPr>
                <w:color w:val="000000"/>
                <w:sz w:val="20"/>
              </w:rPr>
            </w:pPr>
            <w:r w:rsidRPr="00DB7E02">
              <w:rPr>
                <w:color w:val="000000"/>
                <w:sz w:val="20"/>
              </w:rPr>
              <w:t>0.00</w:t>
            </w:r>
          </w:p>
        </w:tc>
        <w:tc>
          <w:tcPr>
            <w:tcW w:w="1501" w:type="dxa"/>
            <w:vMerge/>
            <w:shd w:val="clear" w:color="auto" w:fill="auto"/>
            <w:vAlign w:val="center"/>
            <w:hideMark/>
          </w:tcPr>
          <w:p w14:paraId="6B6FDD24" w14:textId="77777777" w:rsidR="00ED7AFC" w:rsidRPr="00DB7E02" w:rsidRDefault="00ED7AFC" w:rsidP="002930B5">
            <w:pPr>
              <w:keepNext/>
              <w:widowControl w:val="0"/>
              <w:jc w:val="center"/>
              <w:rPr>
                <w:color w:val="000000"/>
                <w:sz w:val="20"/>
              </w:rPr>
            </w:pPr>
          </w:p>
        </w:tc>
      </w:tr>
      <w:tr w:rsidR="00E12676" w:rsidRPr="00DB7E02" w14:paraId="263A7352" w14:textId="77777777" w:rsidTr="00E12676">
        <w:trPr>
          <w:trHeight w:val="144"/>
        </w:trPr>
        <w:tc>
          <w:tcPr>
            <w:tcW w:w="5129" w:type="dxa"/>
            <w:gridSpan w:val="2"/>
            <w:shd w:val="clear" w:color="auto" w:fill="auto"/>
            <w:noWrap/>
            <w:vAlign w:val="bottom"/>
          </w:tcPr>
          <w:p w14:paraId="7DF8C663" w14:textId="77777777" w:rsidR="00ED7AFC" w:rsidRPr="00DB7E02" w:rsidRDefault="00ED7AFC" w:rsidP="002930B5">
            <w:pPr>
              <w:keepNext/>
              <w:widowControl w:val="0"/>
              <w:rPr>
                <w:b/>
                <w:bCs/>
                <w:i/>
                <w:color w:val="000000"/>
                <w:sz w:val="20"/>
              </w:rPr>
            </w:pPr>
            <w:r w:rsidRPr="00DB7E02">
              <w:rPr>
                <w:b/>
                <w:bCs/>
                <w:i/>
                <w:color w:val="000000"/>
                <w:sz w:val="20"/>
              </w:rPr>
              <w:t>Model 4</w:t>
            </w:r>
          </w:p>
        </w:tc>
        <w:tc>
          <w:tcPr>
            <w:tcW w:w="1148" w:type="dxa"/>
            <w:shd w:val="clear" w:color="auto" w:fill="auto"/>
            <w:noWrap/>
            <w:vAlign w:val="bottom"/>
          </w:tcPr>
          <w:p w14:paraId="4BDFC6CA" w14:textId="77777777" w:rsidR="00ED7AFC" w:rsidRPr="00DB7E02" w:rsidRDefault="00ED7AFC" w:rsidP="002930B5">
            <w:pPr>
              <w:keepNext/>
              <w:widowControl w:val="0"/>
              <w:jc w:val="center"/>
              <w:rPr>
                <w:b/>
                <w:bCs/>
                <w:i/>
                <w:color w:val="000000"/>
                <w:sz w:val="20"/>
              </w:rPr>
            </w:pPr>
          </w:p>
        </w:tc>
        <w:tc>
          <w:tcPr>
            <w:tcW w:w="1577" w:type="dxa"/>
            <w:shd w:val="clear" w:color="auto" w:fill="auto"/>
            <w:noWrap/>
            <w:vAlign w:val="bottom"/>
          </w:tcPr>
          <w:p w14:paraId="62DA12EA" w14:textId="77777777" w:rsidR="00ED7AFC" w:rsidRPr="00DB7E02" w:rsidRDefault="00ED7AFC" w:rsidP="002930B5">
            <w:pPr>
              <w:keepNext/>
              <w:widowControl w:val="0"/>
              <w:jc w:val="center"/>
              <w:rPr>
                <w:b/>
                <w:bCs/>
                <w:i/>
                <w:color w:val="000000"/>
                <w:sz w:val="20"/>
              </w:rPr>
            </w:pPr>
          </w:p>
        </w:tc>
        <w:tc>
          <w:tcPr>
            <w:tcW w:w="1501" w:type="dxa"/>
            <w:shd w:val="clear" w:color="auto" w:fill="auto"/>
            <w:noWrap/>
            <w:vAlign w:val="center"/>
          </w:tcPr>
          <w:p w14:paraId="63148B8C" w14:textId="77777777" w:rsidR="00ED7AFC" w:rsidRPr="00DB7E02" w:rsidRDefault="00ED7AFC" w:rsidP="002930B5">
            <w:pPr>
              <w:keepNext/>
              <w:widowControl w:val="0"/>
              <w:jc w:val="center"/>
              <w:rPr>
                <w:i/>
                <w:color w:val="000000"/>
                <w:sz w:val="20"/>
              </w:rPr>
            </w:pPr>
            <w:r>
              <w:rPr>
                <w:color w:val="000000"/>
                <w:sz w:val="20"/>
              </w:rPr>
              <w:t>0.03</w:t>
            </w:r>
          </w:p>
        </w:tc>
      </w:tr>
      <w:tr w:rsidR="00E12676" w:rsidRPr="00DB7E02" w14:paraId="460F3050" w14:textId="77777777" w:rsidTr="00E12676">
        <w:trPr>
          <w:trHeight w:val="144"/>
        </w:trPr>
        <w:tc>
          <w:tcPr>
            <w:tcW w:w="5129" w:type="dxa"/>
            <w:gridSpan w:val="2"/>
            <w:shd w:val="clear" w:color="auto" w:fill="auto"/>
            <w:noWrap/>
            <w:vAlign w:val="bottom"/>
            <w:hideMark/>
          </w:tcPr>
          <w:p w14:paraId="2B66D520" w14:textId="73151077" w:rsidR="00ED7AFC" w:rsidRPr="00DB7E02" w:rsidRDefault="00ED7AFC" w:rsidP="002930B5">
            <w:pPr>
              <w:keepNext/>
              <w:widowControl w:val="0"/>
              <w:ind w:left="215"/>
              <w:rPr>
                <w:bCs/>
                <w:color w:val="000000"/>
                <w:sz w:val="20"/>
              </w:rPr>
            </w:pPr>
            <w:r>
              <w:rPr>
                <w:bCs/>
                <w:color w:val="000000"/>
                <w:sz w:val="20"/>
              </w:rPr>
              <w:t>Transit accessibility [1-5]</w:t>
            </w:r>
          </w:p>
        </w:tc>
        <w:tc>
          <w:tcPr>
            <w:tcW w:w="1148" w:type="dxa"/>
            <w:shd w:val="clear" w:color="auto" w:fill="auto"/>
            <w:noWrap/>
            <w:vAlign w:val="bottom"/>
            <w:hideMark/>
          </w:tcPr>
          <w:p w14:paraId="230AF947" w14:textId="77777777" w:rsidR="00ED7AFC" w:rsidRPr="00DB7E02" w:rsidRDefault="00ED7AFC" w:rsidP="002930B5">
            <w:pPr>
              <w:keepNext/>
              <w:widowControl w:val="0"/>
              <w:jc w:val="center"/>
              <w:rPr>
                <w:bCs/>
                <w:color w:val="000000"/>
                <w:sz w:val="20"/>
              </w:rPr>
            </w:pPr>
            <w:r>
              <w:rPr>
                <w:bCs/>
                <w:color w:val="000000"/>
                <w:sz w:val="20"/>
              </w:rPr>
              <w:t>0.50</w:t>
            </w:r>
          </w:p>
        </w:tc>
        <w:tc>
          <w:tcPr>
            <w:tcW w:w="1577" w:type="dxa"/>
            <w:shd w:val="clear" w:color="auto" w:fill="auto"/>
            <w:noWrap/>
            <w:vAlign w:val="bottom"/>
            <w:hideMark/>
          </w:tcPr>
          <w:p w14:paraId="7709EBA9" w14:textId="77777777" w:rsidR="00ED7AFC" w:rsidRPr="00DB7E02" w:rsidRDefault="00ED7AFC" w:rsidP="002930B5">
            <w:pPr>
              <w:keepNext/>
              <w:widowControl w:val="0"/>
              <w:jc w:val="center"/>
              <w:rPr>
                <w:bCs/>
                <w:color w:val="000000"/>
                <w:sz w:val="20"/>
              </w:rPr>
            </w:pPr>
            <w:r w:rsidRPr="00DB7E02">
              <w:rPr>
                <w:bCs/>
                <w:color w:val="000000"/>
                <w:sz w:val="20"/>
              </w:rPr>
              <w:t>0.00</w:t>
            </w:r>
          </w:p>
        </w:tc>
        <w:tc>
          <w:tcPr>
            <w:tcW w:w="1501" w:type="dxa"/>
            <w:vMerge w:val="restart"/>
            <w:shd w:val="clear" w:color="auto" w:fill="auto"/>
            <w:noWrap/>
            <w:vAlign w:val="center"/>
            <w:hideMark/>
          </w:tcPr>
          <w:p w14:paraId="52A2AE8D" w14:textId="77777777" w:rsidR="00ED7AFC" w:rsidRPr="00DB7E02" w:rsidRDefault="00ED7AFC" w:rsidP="002930B5">
            <w:pPr>
              <w:keepNext/>
              <w:widowControl w:val="0"/>
              <w:jc w:val="center"/>
              <w:rPr>
                <w:color w:val="000000"/>
                <w:sz w:val="20"/>
              </w:rPr>
            </w:pPr>
          </w:p>
        </w:tc>
      </w:tr>
      <w:tr w:rsidR="00E12676" w:rsidRPr="00DB7E02" w14:paraId="765583C0" w14:textId="77777777" w:rsidTr="00E12676">
        <w:trPr>
          <w:trHeight w:val="144"/>
        </w:trPr>
        <w:tc>
          <w:tcPr>
            <w:tcW w:w="5129" w:type="dxa"/>
            <w:gridSpan w:val="2"/>
            <w:shd w:val="clear" w:color="auto" w:fill="auto"/>
            <w:noWrap/>
            <w:vAlign w:val="bottom"/>
            <w:hideMark/>
          </w:tcPr>
          <w:p w14:paraId="4FBD45C7" w14:textId="77777777" w:rsidR="00ED7AFC" w:rsidRPr="00DB7E02" w:rsidRDefault="00ED7AFC" w:rsidP="002930B5">
            <w:pPr>
              <w:keepNext/>
              <w:widowControl w:val="0"/>
              <w:ind w:left="215"/>
              <w:rPr>
                <w:color w:val="000000"/>
                <w:sz w:val="20"/>
              </w:rPr>
            </w:pPr>
            <w:r w:rsidRPr="00DB7E02">
              <w:rPr>
                <w:color w:val="000000"/>
                <w:sz w:val="20"/>
              </w:rPr>
              <w:t>Constant</w:t>
            </w:r>
          </w:p>
        </w:tc>
        <w:tc>
          <w:tcPr>
            <w:tcW w:w="1148" w:type="dxa"/>
            <w:shd w:val="clear" w:color="auto" w:fill="auto"/>
            <w:noWrap/>
            <w:vAlign w:val="bottom"/>
            <w:hideMark/>
          </w:tcPr>
          <w:p w14:paraId="2B2ABF88" w14:textId="77777777" w:rsidR="00ED7AFC" w:rsidRPr="00DB7E02" w:rsidRDefault="00ED7AFC" w:rsidP="002930B5">
            <w:pPr>
              <w:keepNext/>
              <w:widowControl w:val="0"/>
              <w:jc w:val="center"/>
              <w:rPr>
                <w:color w:val="000000"/>
                <w:sz w:val="20"/>
              </w:rPr>
            </w:pPr>
            <w:r>
              <w:rPr>
                <w:color w:val="000000"/>
                <w:sz w:val="20"/>
              </w:rPr>
              <w:t>-3.10</w:t>
            </w:r>
          </w:p>
        </w:tc>
        <w:tc>
          <w:tcPr>
            <w:tcW w:w="1577" w:type="dxa"/>
            <w:shd w:val="clear" w:color="auto" w:fill="auto"/>
            <w:noWrap/>
            <w:vAlign w:val="bottom"/>
            <w:hideMark/>
          </w:tcPr>
          <w:p w14:paraId="22028EE3" w14:textId="77777777" w:rsidR="00ED7AFC" w:rsidRPr="00DB7E02" w:rsidRDefault="00ED7AFC" w:rsidP="002930B5">
            <w:pPr>
              <w:keepNext/>
              <w:widowControl w:val="0"/>
              <w:jc w:val="center"/>
              <w:rPr>
                <w:color w:val="000000"/>
                <w:sz w:val="20"/>
              </w:rPr>
            </w:pPr>
            <w:r w:rsidRPr="00DB7E02">
              <w:rPr>
                <w:color w:val="000000"/>
                <w:sz w:val="20"/>
              </w:rPr>
              <w:t>0.00</w:t>
            </w:r>
          </w:p>
        </w:tc>
        <w:tc>
          <w:tcPr>
            <w:tcW w:w="1501" w:type="dxa"/>
            <w:vMerge/>
            <w:shd w:val="clear" w:color="auto" w:fill="auto"/>
            <w:vAlign w:val="center"/>
            <w:hideMark/>
          </w:tcPr>
          <w:p w14:paraId="57306312" w14:textId="77777777" w:rsidR="00ED7AFC" w:rsidRPr="00DB7E02" w:rsidRDefault="00ED7AFC" w:rsidP="002930B5">
            <w:pPr>
              <w:keepNext/>
              <w:widowControl w:val="0"/>
              <w:jc w:val="center"/>
              <w:rPr>
                <w:color w:val="000000"/>
                <w:sz w:val="20"/>
              </w:rPr>
            </w:pPr>
          </w:p>
        </w:tc>
      </w:tr>
      <w:tr w:rsidR="00E12676" w:rsidRPr="00DB7E02" w14:paraId="714190C1" w14:textId="77777777" w:rsidTr="00E12676">
        <w:trPr>
          <w:trHeight w:val="144"/>
        </w:trPr>
        <w:tc>
          <w:tcPr>
            <w:tcW w:w="5129" w:type="dxa"/>
            <w:gridSpan w:val="2"/>
            <w:shd w:val="clear" w:color="auto" w:fill="auto"/>
            <w:noWrap/>
            <w:vAlign w:val="bottom"/>
          </w:tcPr>
          <w:p w14:paraId="3B797A39" w14:textId="77777777" w:rsidR="00E12676" w:rsidRPr="00DB7E02" w:rsidRDefault="00E12676" w:rsidP="002930B5">
            <w:pPr>
              <w:keepNext/>
              <w:widowControl w:val="0"/>
              <w:ind w:left="215"/>
              <w:rPr>
                <w:color w:val="000000"/>
                <w:sz w:val="20"/>
              </w:rPr>
            </w:pPr>
          </w:p>
        </w:tc>
        <w:tc>
          <w:tcPr>
            <w:tcW w:w="1148" w:type="dxa"/>
            <w:shd w:val="clear" w:color="auto" w:fill="auto"/>
            <w:noWrap/>
            <w:vAlign w:val="bottom"/>
          </w:tcPr>
          <w:p w14:paraId="3E52AC5B" w14:textId="77777777" w:rsidR="00E12676" w:rsidRDefault="00E12676" w:rsidP="002930B5">
            <w:pPr>
              <w:keepNext/>
              <w:widowControl w:val="0"/>
              <w:jc w:val="center"/>
              <w:rPr>
                <w:color w:val="000000"/>
                <w:sz w:val="20"/>
              </w:rPr>
            </w:pPr>
          </w:p>
        </w:tc>
        <w:tc>
          <w:tcPr>
            <w:tcW w:w="1577" w:type="dxa"/>
            <w:shd w:val="clear" w:color="auto" w:fill="auto"/>
            <w:noWrap/>
            <w:vAlign w:val="bottom"/>
          </w:tcPr>
          <w:p w14:paraId="04AAFC20" w14:textId="77777777" w:rsidR="00E12676" w:rsidRPr="00DB7E02" w:rsidRDefault="00E12676" w:rsidP="002930B5">
            <w:pPr>
              <w:keepNext/>
              <w:widowControl w:val="0"/>
              <w:jc w:val="center"/>
              <w:rPr>
                <w:color w:val="000000"/>
                <w:sz w:val="20"/>
              </w:rPr>
            </w:pPr>
          </w:p>
        </w:tc>
        <w:tc>
          <w:tcPr>
            <w:tcW w:w="1501" w:type="dxa"/>
            <w:shd w:val="clear" w:color="auto" w:fill="auto"/>
            <w:vAlign w:val="center"/>
          </w:tcPr>
          <w:p w14:paraId="2E96FBAB" w14:textId="77777777" w:rsidR="00E12676" w:rsidRPr="00DB7E02" w:rsidRDefault="00E12676" w:rsidP="002930B5">
            <w:pPr>
              <w:keepNext/>
              <w:widowControl w:val="0"/>
              <w:jc w:val="center"/>
              <w:rPr>
                <w:color w:val="000000"/>
                <w:sz w:val="20"/>
              </w:rPr>
            </w:pPr>
          </w:p>
        </w:tc>
      </w:tr>
      <w:tr w:rsidR="00E12676" w:rsidRPr="00DB7E02" w14:paraId="72B6628F" w14:textId="06D84638" w:rsidTr="00E12676">
        <w:trPr>
          <w:trHeight w:val="144"/>
        </w:trPr>
        <w:tc>
          <w:tcPr>
            <w:tcW w:w="7854" w:type="dxa"/>
            <w:gridSpan w:val="4"/>
            <w:tcBorders>
              <w:bottom w:val="single" w:sz="4" w:space="0" w:color="auto"/>
            </w:tcBorders>
            <w:shd w:val="clear" w:color="auto" w:fill="auto"/>
            <w:noWrap/>
            <w:vAlign w:val="bottom"/>
          </w:tcPr>
          <w:p w14:paraId="49AC5143" w14:textId="77777777" w:rsidR="00E12676" w:rsidRPr="00DB7E02" w:rsidRDefault="00E12676" w:rsidP="002930B5">
            <w:pPr>
              <w:keepNext/>
              <w:widowControl w:val="0"/>
              <w:jc w:val="center"/>
              <w:rPr>
                <w:color w:val="000000"/>
                <w:sz w:val="20"/>
              </w:rPr>
            </w:pPr>
            <w:r w:rsidRPr="00DB7E02">
              <w:rPr>
                <w:b/>
                <w:bCs/>
                <w:color w:val="000000"/>
                <w:sz w:val="20"/>
              </w:rPr>
              <w:t>Data used for all models</w:t>
            </w:r>
          </w:p>
        </w:tc>
        <w:tc>
          <w:tcPr>
            <w:tcW w:w="1501" w:type="dxa"/>
            <w:tcBorders>
              <w:bottom w:val="single" w:sz="4" w:space="0" w:color="auto"/>
            </w:tcBorders>
          </w:tcPr>
          <w:p w14:paraId="320A8080" w14:textId="77777777" w:rsidR="00E12676" w:rsidRPr="00DB7E02" w:rsidRDefault="00E12676" w:rsidP="002930B5">
            <w:pPr>
              <w:keepNext/>
              <w:widowControl w:val="0"/>
              <w:jc w:val="center"/>
              <w:rPr>
                <w:b/>
                <w:bCs/>
                <w:color w:val="000000"/>
                <w:sz w:val="20"/>
              </w:rPr>
            </w:pPr>
          </w:p>
        </w:tc>
      </w:tr>
      <w:tr w:rsidR="00E12676" w:rsidRPr="00DB7E02" w14:paraId="11413049" w14:textId="1DBF8210" w:rsidTr="00E12676">
        <w:trPr>
          <w:trHeight w:val="144"/>
        </w:trPr>
        <w:tc>
          <w:tcPr>
            <w:tcW w:w="2382" w:type="dxa"/>
            <w:tcBorders>
              <w:top w:val="single" w:sz="4" w:space="0" w:color="auto"/>
            </w:tcBorders>
            <w:shd w:val="clear" w:color="auto" w:fill="auto"/>
            <w:noWrap/>
            <w:hideMark/>
          </w:tcPr>
          <w:p w14:paraId="59F00561" w14:textId="77777777" w:rsidR="00E12676" w:rsidRPr="00DB7E02" w:rsidRDefault="00E12676" w:rsidP="002930B5">
            <w:pPr>
              <w:keepNext/>
              <w:widowControl w:val="0"/>
              <w:rPr>
                <w:bCs/>
                <w:color w:val="000000"/>
                <w:sz w:val="20"/>
              </w:rPr>
            </w:pPr>
            <w:r w:rsidRPr="00DB7E02">
              <w:rPr>
                <w:bCs/>
                <w:color w:val="000000"/>
                <w:sz w:val="20"/>
              </w:rPr>
              <w:t>Trips (n)</w:t>
            </w:r>
          </w:p>
        </w:tc>
        <w:tc>
          <w:tcPr>
            <w:tcW w:w="5472" w:type="dxa"/>
            <w:gridSpan w:val="3"/>
            <w:tcBorders>
              <w:top w:val="single" w:sz="4" w:space="0" w:color="auto"/>
            </w:tcBorders>
            <w:shd w:val="clear" w:color="auto" w:fill="auto"/>
            <w:noWrap/>
            <w:hideMark/>
          </w:tcPr>
          <w:p w14:paraId="680B36C6" w14:textId="77777777" w:rsidR="00E12676" w:rsidRPr="00DB7E02" w:rsidRDefault="00E12676" w:rsidP="002930B5">
            <w:pPr>
              <w:keepNext/>
              <w:widowControl w:val="0"/>
              <w:ind w:right="3544"/>
              <w:jc w:val="right"/>
              <w:rPr>
                <w:bCs/>
                <w:color w:val="000000"/>
                <w:sz w:val="20"/>
              </w:rPr>
            </w:pPr>
            <w:r>
              <w:rPr>
                <w:bCs/>
                <w:color w:val="000000"/>
                <w:sz w:val="20"/>
              </w:rPr>
              <w:t>41,316</w:t>
            </w:r>
          </w:p>
        </w:tc>
        <w:tc>
          <w:tcPr>
            <w:tcW w:w="1501" w:type="dxa"/>
            <w:tcBorders>
              <w:top w:val="single" w:sz="4" w:space="0" w:color="auto"/>
            </w:tcBorders>
          </w:tcPr>
          <w:p w14:paraId="56ED6EC9" w14:textId="77777777" w:rsidR="00E12676" w:rsidRDefault="00E12676" w:rsidP="002930B5">
            <w:pPr>
              <w:keepNext/>
              <w:widowControl w:val="0"/>
              <w:ind w:right="3544"/>
              <w:jc w:val="right"/>
              <w:rPr>
                <w:bCs/>
                <w:color w:val="000000"/>
                <w:sz w:val="20"/>
              </w:rPr>
            </w:pPr>
          </w:p>
        </w:tc>
      </w:tr>
      <w:tr w:rsidR="00E12676" w:rsidRPr="00DB7E02" w14:paraId="6E8C284F" w14:textId="5125330C" w:rsidTr="00E12676">
        <w:trPr>
          <w:trHeight w:val="144"/>
        </w:trPr>
        <w:tc>
          <w:tcPr>
            <w:tcW w:w="2382" w:type="dxa"/>
            <w:shd w:val="clear" w:color="auto" w:fill="auto"/>
            <w:noWrap/>
            <w:hideMark/>
          </w:tcPr>
          <w:p w14:paraId="0CE618A5" w14:textId="77777777" w:rsidR="00E12676" w:rsidRPr="00DB7E02" w:rsidRDefault="00E12676" w:rsidP="002930B5">
            <w:pPr>
              <w:keepNext/>
              <w:widowControl w:val="0"/>
              <w:rPr>
                <w:color w:val="000000"/>
                <w:sz w:val="20"/>
              </w:rPr>
            </w:pPr>
            <w:r w:rsidRPr="00DB7E02">
              <w:rPr>
                <w:color w:val="000000"/>
                <w:sz w:val="20"/>
              </w:rPr>
              <w:t>Walk</w:t>
            </w:r>
          </w:p>
        </w:tc>
        <w:tc>
          <w:tcPr>
            <w:tcW w:w="5472" w:type="dxa"/>
            <w:gridSpan w:val="3"/>
            <w:shd w:val="clear" w:color="auto" w:fill="auto"/>
            <w:noWrap/>
            <w:hideMark/>
          </w:tcPr>
          <w:p w14:paraId="724C274A" w14:textId="77777777" w:rsidR="00E12676" w:rsidRPr="00DB7E02" w:rsidRDefault="00E12676" w:rsidP="002930B5">
            <w:pPr>
              <w:keepNext/>
              <w:widowControl w:val="0"/>
              <w:ind w:right="3544"/>
              <w:jc w:val="right"/>
              <w:rPr>
                <w:color w:val="000000"/>
                <w:sz w:val="20"/>
              </w:rPr>
            </w:pPr>
            <w:r>
              <w:rPr>
                <w:color w:val="000000"/>
                <w:sz w:val="20"/>
              </w:rPr>
              <w:t>3,946</w:t>
            </w:r>
          </w:p>
        </w:tc>
        <w:tc>
          <w:tcPr>
            <w:tcW w:w="1501" w:type="dxa"/>
          </w:tcPr>
          <w:p w14:paraId="1B242D0D" w14:textId="77777777" w:rsidR="00E12676" w:rsidRDefault="00E12676" w:rsidP="002930B5">
            <w:pPr>
              <w:keepNext/>
              <w:widowControl w:val="0"/>
              <w:ind w:right="3544"/>
              <w:jc w:val="right"/>
              <w:rPr>
                <w:color w:val="000000"/>
                <w:sz w:val="20"/>
              </w:rPr>
            </w:pPr>
          </w:p>
        </w:tc>
      </w:tr>
      <w:tr w:rsidR="00E12676" w:rsidRPr="00DB7E02" w14:paraId="126B3A0B" w14:textId="29E8BB69" w:rsidTr="00E12676">
        <w:trPr>
          <w:trHeight w:val="360"/>
        </w:trPr>
        <w:tc>
          <w:tcPr>
            <w:tcW w:w="2382" w:type="dxa"/>
            <w:tcBorders>
              <w:bottom w:val="single" w:sz="4" w:space="0" w:color="auto"/>
            </w:tcBorders>
            <w:shd w:val="clear" w:color="auto" w:fill="auto"/>
            <w:noWrap/>
            <w:hideMark/>
          </w:tcPr>
          <w:p w14:paraId="11F3443B" w14:textId="77777777" w:rsidR="00E12676" w:rsidRPr="00DB7E02" w:rsidRDefault="00E12676" w:rsidP="002930B5">
            <w:pPr>
              <w:rPr>
                <w:color w:val="000000"/>
                <w:sz w:val="20"/>
              </w:rPr>
            </w:pPr>
            <w:r w:rsidRPr="00DB7E02">
              <w:rPr>
                <w:color w:val="000000"/>
                <w:sz w:val="20"/>
              </w:rPr>
              <w:t>Not Walk</w:t>
            </w:r>
          </w:p>
        </w:tc>
        <w:tc>
          <w:tcPr>
            <w:tcW w:w="5472" w:type="dxa"/>
            <w:gridSpan w:val="3"/>
            <w:tcBorders>
              <w:bottom w:val="single" w:sz="4" w:space="0" w:color="auto"/>
            </w:tcBorders>
            <w:shd w:val="clear" w:color="auto" w:fill="auto"/>
            <w:noWrap/>
            <w:hideMark/>
          </w:tcPr>
          <w:p w14:paraId="3C8D43B5" w14:textId="77777777" w:rsidR="00E12676" w:rsidRPr="00DB7E02" w:rsidRDefault="00E12676" w:rsidP="002930B5">
            <w:pPr>
              <w:ind w:right="3544"/>
              <w:jc w:val="right"/>
              <w:rPr>
                <w:color w:val="000000"/>
                <w:sz w:val="20"/>
              </w:rPr>
            </w:pPr>
            <w:r>
              <w:rPr>
                <w:color w:val="000000"/>
                <w:sz w:val="20"/>
              </w:rPr>
              <w:t>37,370</w:t>
            </w:r>
          </w:p>
        </w:tc>
        <w:tc>
          <w:tcPr>
            <w:tcW w:w="1506" w:type="dxa"/>
            <w:tcBorders>
              <w:bottom w:val="single" w:sz="4" w:space="0" w:color="auto"/>
            </w:tcBorders>
          </w:tcPr>
          <w:p w14:paraId="606A61EA" w14:textId="77777777" w:rsidR="00E12676" w:rsidRDefault="00E12676" w:rsidP="002930B5">
            <w:pPr>
              <w:ind w:right="3544"/>
              <w:jc w:val="right"/>
              <w:rPr>
                <w:color w:val="000000"/>
                <w:sz w:val="20"/>
              </w:rPr>
            </w:pPr>
          </w:p>
        </w:tc>
      </w:tr>
    </w:tbl>
    <w:p w14:paraId="369E6FD2" w14:textId="77777777" w:rsidR="00ED7AFC" w:rsidRDefault="00ED7AFC" w:rsidP="00ED7AFC">
      <w:pPr>
        <w:pStyle w:val="BodyText"/>
      </w:pPr>
    </w:p>
    <w:p w14:paraId="0939849A" w14:textId="55BD148E" w:rsidR="005B0B73" w:rsidRDefault="005B0B73" w:rsidP="00F75D0F">
      <w:r>
        <w:t>The</w:t>
      </w:r>
      <w:r w:rsidR="002F68A4">
        <w:t xml:space="preserve"> resulting weights</w:t>
      </w:r>
      <w:r>
        <w:t xml:space="preserve"> for PIE</w:t>
      </w:r>
      <w:r w:rsidRPr="00771F0B">
        <w:rPr>
          <w:vertAlign w:val="subscript"/>
        </w:rPr>
        <w:t>bg</w:t>
      </w:r>
      <w:r>
        <w:t xml:space="preserve"> are shown in </w:t>
      </w:r>
      <w:r>
        <w:fldChar w:fldCharType="begin"/>
      </w:r>
      <w:r>
        <w:instrText xml:space="preserve"> REF _Ref513710909 \h </w:instrText>
      </w:r>
      <w:r>
        <w:fldChar w:fldCharType="separate"/>
      </w:r>
      <w:r w:rsidR="002F68A4">
        <w:t xml:space="preserve">Table </w:t>
      </w:r>
      <w:r w:rsidR="002F68A4">
        <w:rPr>
          <w:noProof/>
        </w:rPr>
        <w:t>3</w:t>
      </w:r>
      <w:r>
        <w:fldChar w:fldCharType="end"/>
      </w:r>
      <w:r>
        <w:t xml:space="preserve"> below and compared to the commensurate measures from PIE</w:t>
      </w:r>
      <w:r w:rsidRPr="00771F0B">
        <w:rPr>
          <w:vertAlign w:val="subscript"/>
        </w:rPr>
        <w:t>0</w:t>
      </w:r>
      <w:r>
        <w:t xml:space="preserve">. </w:t>
      </w:r>
      <w:r w:rsidR="009A5792">
        <w:t xml:space="preserve">Here, we can see that the person density has </w:t>
      </w:r>
      <w:r w:rsidR="00E677D5">
        <w:t xml:space="preserve">a </w:t>
      </w:r>
      <w:r w:rsidR="009A5792" w:rsidRPr="004E6B23">
        <w:rPr>
          <w:noProof/>
        </w:rPr>
        <w:t>similar</w:t>
      </w:r>
      <w:r w:rsidR="009A5792">
        <w:t xml:space="preserve"> weight of 4.6; however, the other variables were apparently more sensitive to the change in scale</w:t>
      </w:r>
      <w:r w:rsidR="00014F3D">
        <w:t xml:space="preserve"> and resulted in higher weights in PIE</w:t>
      </w:r>
      <w:r w:rsidR="00014F3D" w:rsidRPr="00014F3D">
        <w:rPr>
          <w:vertAlign w:val="subscript"/>
        </w:rPr>
        <w:t>bg</w:t>
      </w:r>
      <w:r w:rsidR="00014F3D">
        <w:t xml:space="preserve"> than in PIE</w:t>
      </w:r>
      <w:r w:rsidR="00014F3D" w:rsidRPr="00014F3D">
        <w:rPr>
          <w:vertAlign w:val="subscript"/>
        </w:rPr>
        <w:t>0</w:t>
      </w:r>
      <w:r w:rsidR="009A5792">
        <w:t xml:space="preserve">. </w:t>
      </w:r>
    </w:p>
    <w:p w14:paraId="0A358849" w14:textId="42BA1BCE" w:rsidR="005B0B73" w:rsidRDefault="005B0B73" w:rsidP="00F75D0F"/>
    <w:p w14:paraId="66F18AA6" w14:textId="4D99A6B0" w:rsidR="005B0B73" w:rsidRDefault="0078588B" w:rsidP="00FA1EDF">
      <w:pPr>
        <w:pStyle w:val="Caption"/>
      </w:pPr>
      <w:bookmarkStart w:id="32" w:name="_Ref513710909"/>
      <w:bookmarkStart w:id="33" w:name="_Toc2003592"/>
      <w:r>
        <w:t xml:space="preserve">Table </w:t>
      </w:r>
      <w:r w:rsidR="001D2758">
        <w:rPr>
          <w:noProof/>
        </w:rPr>
        <w:fldChar w:fldCharType="begin"/>
      </w:r>
      <w:r w:rsidR="001D2758">
        <w:rPr>
          <w:noProof/>
        </w:rPr>
        <w:instrText xml:space="preserve"> SEQ Table \* ARABIC </w:instrText>
      </w:r>
      <w:r w:rsidR="001D2758">
        <w:rPr>
          <w:noProof/>
        </w:rPr>
        <w:fldChar w:fldCharType="separate"/>
      </w:r>
      <w:r w:rsidR="004E6B23">
        <w:rPr>
          <w:noProof/>
        </w:rPr>
        <w:t>3</w:t>
      </w:r>
      <w:r w:rsidR="001D2758">
        <w:rPr>
          <w:noProof/>
        </w:rPr>
        <w:fldChar w:fldCharType="end"/>
      </w:r>
      <w:r>
        <w:t xml:space="preserve"> E</w:t>
      </w:r>
      <w:bookmarkEnd w:id="32"/>
      <w:r w:rsidR="005B0B73">
        <w:t xml:space="preserve">stimated </w:t>
      </w:r>
      <w:r w:rsidR="009A5792">
        <w:t>weights for each built environment measure for PIE</w:t>
      </w:r>
      <w:r w:rsidR="009A5792" w:rsidRPr="009A5792">
        <w:rPr>
          <w:vertAlign w:val="subscript"/>
        </w:rPr>
        <w:t>0</w:t>
      </w:r>
      <w:r w:rsidR="009A5792">
        <w:t xml:space="preserve"> and PIE</w:t>
      </w:r>
      <w:r w:rsidR="009A5792" w:rsidRPr="009A5792">
        <w:rPr>
          <w:vertAlign w:val="subscript"/>
        </w:rPr>
        <w:t>bg</w:t>
      </w:r>
      <w:bookmarkEnd w:id="33"/>
    </w:p>
    <w:tbl>
      <w:tblPr>
        <w:tblW w:w="0" w:type="auto"/>
        <w:jc w:val="center"/>
        <w:tblLayout w:type="fixed"/>
        <w:tblLook w:val="04A0" w:firstRow="1" w:lastRow="0" w:firstColumn="1" w:lastColumn="0" w:noHBand="0" w:noVBand="1"/>
      </w:tblPr>
      <w:tblGrid>
        <w:gridCol w:w="2970"/>
        <w:gridCol w:w="1351"/>
        <w:gridCol w:w="1352"/>
        <w:gridCol w:w="1352"/>
        <w:gridCol w:w="252"/>
      </w:tblGrid>
      <w:tr w:rsidR="005B0B73" w:rsidRPr="005B0B73" w14:paraId="127420A7" w14:textId="77777777" w:rsidTr="00014F3D">
        <w:trPr>
          <w:trHeight w:val="466"/>
          <w:jc w:val="center"/>
        </w:trPr>
        <w:tc>
          <w:tcPr>
            <w:tcW w:w="2970" w:type="dxa"/>
            <w:tcBorders>
              <w:top w:val="single" w:sz="4" w:space="0" w:color="auto"/>
              <w:left w:val="nil"/>
              <w:bottom w:val="single" w:sz="4" w:space="0" w:color="auto"/>
              <w:right w:val="nil"/>
            </w:tcBorders>
            <w:noWrap/>
            <w:vAlign w:val="center"/>
            <w:hideMark/>
          </w:tcPr>
          <w:p w14:paraId="52FD35BD" w14:textId="77777777" w:rsidR="005B0B73" w:rsidRPr="005B0B73" w:rsidRDefault="005B0B73" w:rsidP="005B0B73">
            <w:pPr>
              <w:keepNext/>
              <w:widowControl w:val="0"/>
              <w:spacing w:after="160" w:line="256" w:lineRule="auto"/>
              <w:jc w:val="center"/>
              <w:rPr>
                <w:rFonts w:eastAsiaTheme="minorHAnsi"/>
                <w:b/>
                <w:bCs/>
                <w:color w:val="000000"/>
                <w:sz w:val="20"/>
                <w:szCs w:val="22"/>
              </w:rPr>
            </w:pPr>
            <w:r w:rsidRPr="005B0B73">
              <w:rPr>
                <w:rFonts w:eastAsiaTheme="minorHAnsi"/>
                <w:b/>
                <w:bCs/>
                <w:color w:val="000000"/>
                <w:sz w:val="20"/>
                <w:szCs w:val="22"/>
              </w:rPr>
              <w:t>Component</w:t>
            </w:r>
          </w:p>
        </w:tc>
        <w:tc>
          <w:tcPr>
            <w:tcW w:w="1351" w:type="dxa"/>
            <w:tcBorders>
              <w:top w:val="single" w:sz="4" w:space="0" w:color="auto"/>
              <w:left w:val="nil"/>
              <w:bottom w:val="single" w:sz="4" w:space="0" w:color="auto"/>
              <w:right w:val="nil"/>
            </w:tcBorders>
            <w:noWrap/>
            <w:vAlign w:val="center"/>
            <w:hideMark/>
          </w:tcPr>
          <w:p w14:paraId="57037956" w14:textId="70816AF2" w:rsidR="005B0B73" w:rsidRPr="005B0B73" w:rsidRDefault="009A5792" w:rsidP="005B0B73">
            <w:pPr>
              <w:keepNext/>
              <w:widowControl w:val="0"/>
              <w:spacing w:after="160" w:line="256" w:lineRule="auto"/>
              <w:jc w:val="center"/>
              <w:rPr>
                <w:rFonts w:eastAsiaTheme="minorHAnsi"/>
                <w:b/>
                <w:bCs/>
                <w:color w:val="000000"/>
                <w:sz w:val="20"/>
                <w:szCs w:val="22"/>
              </w:rPr>
            </w:pPr>
            <w:r>
              <w:rPr>
                <w:rFonts w:eastAsiaTheme="minorHAnsi"/>
                <w:b/>
                <w:bCs/>
                <w:color w:val="000000"/>
                <w:sz w:val="20"/>
                <w:szCs w:val="22"/>
              </w:rPr>
              <w:t xml:space="preserve">Range of </w:t>
            </w:r>
            <w:r w:rsidR="005B0B73" w:rsidRPr="005B0B73">
              <w:rPr>
                <w:rFonts w:eastAsiaTheme="minorHAnsi"/>
                <w:b/>
                <w:bCs/>
                <w:color w:val="000000"/>
                <w:sz w:val="20"/>
                <w:szCs w:val="22"/>
              </w:rPr>
              <w:t>values</w:t>
            </w:r>
          </w:p>
        </w:tc>
        <w:tc>
          <w:tcPr>
            <w:tcW w:w="1352" w:type="dxa"/>
            <w:tcBorders>
              <w:top w:val="single" w:sz="4" w:space="0" w:color="auto"/>
              <w:left w:val="nil"/>
              <w:bottom w:val="single" w:sz="4" w:space="0" w:color="auto"/>
              <w:right w:val="nil"/>
            </w:tcBorders>
            <w:noWrap/>
            <w:vAlign w:val="center"/>
            <w:hideMark/>
          </w:tcPr>
          <w:p w14:paraId="3B52C4BD" w14:textId="77777777" w:rsidR="005B0B73" w:rsidRPr="005B0B73" w:rsidRDefault="005B0B73" w:rsidP="005B0B73">
            <w:pPr>
              <w:keepNext/>
              <w:widowControl w:val="0"/>
              <w:spacing w:after="160" w:line="256" w:lineRule="auto"/>
              <w:jc w:val="center"/>
              <w:rPr>
                <w:rFonts w:eastAsiaTheme="minorHAnsi"/>
                <w:b/>
                <w:bCs/>
                <w:color w:val="000000"/>
                <w:sz w:val="20"/>
                <w:szCs w:val="22"/>
                <w:vertAlign w:val="subscript"/>
              </w:rPr>
            </w:pPr>
            <w:r w:rsidRPr="005B0B73">
              <w:rPr>
                <w:rFonts w:eastAsiaTheme="minorHAnsi"/>
                <w:b/>
                <w:bCs/>
                <w:color w:val="000000"/>
                <w:sz w:val="20"/>
                <w:szCs w:val="22"/>
              </w:rPr>
              <w:t>Weights for PIE</w:t>
            </w:r>
            <w:r w:rsidRPr="005B0B73">
              <w:rPr>
                <w:rFonts w:eastAsiaTheme="minorHAnsi"/>
                <w:b/>
                <w:bCs/>
                <w:color w:val="000000"/>
                <w:sz w:val="20"/>
                <w:szCs w:val="22"/>
                <w:vertAlign w:val="subscript"/>
              </w:rPr>
              <w:t>0</w:t>
            </w:r>
          </w:p>
        </w:tc>
        <w:tc>
          <w:tcPr>
            <w:tcW w:w="1352" w:type="dxa"/>
            <w:tcBorders>
              <w:top w:val="single" w:sz="4" w:space="0" w:color="auto"/>
              <w:left w:val="nil"/>
              <w:bottom w:val="single" w:sz="4" w:space="0" w:color="auto"/>
              <w:right w:val="nil"/>
            </w:tcBorders>
            <w:vAlign w:val="center"/>
            <w:hideMark/>
          </w:tcPr>
          <w:p w14:paraId="71526119" w14:textId="77777777" w:rsidR="005B0B73" w:rsidRPr="005B0B73" w:rsidRDefault="005B0B73" w:rsidP="005B0B73">
            <w:pPr>
              <w:keepNext/>
              <w:widowControl w:val="0"/>
              <w:spacing w:after="160" w:line="256" w:lineRule="auto"/>
              <w:jc w:val="center"/>
              <w:rPr>
                <w:rFonts w:eastAsiaTheme="minorHAnsi"/>
                <w:b/>
                <w:bCs/>
                <w:color w:val="000000"/>
                <w:sz w:val="20"/>
                <w:szCs w:val="22"/>
              </w:rPr>
            </w:pPr>
            <w:r w:rsidRPr="005B0B73">
              <w:rPr>
                <w:rFonts w:eastAsiaTheme="minorHAnsi"/>
                <w:b/>
                <w:bCs/>
                <w:color w:val="000000"/>
                <w:sz w:val="20"/>
                <w:szCs w:val="22"/>
              </w:rPr>
              <w:t>Weights for PIE</w:t>
            </w:r>
            <w:r w:rsidRPr="005B0B73">
              <w:rPr>
                <w:rFonts w:eastAsiaTheme="minorHAnsi"/>
                <w:b/>
                <w:bCs/>
                <w:color w:val="000000"/>
                <w:sz w:val="20"/>
                <w:szCs w:val="22"/>
                <w:vertAlign w:val="subscript"/>
              </w:rPr>
              <w:t>bg</w:t>
            </w:r>
          </w:p>
        </w:tc>
        <w:tc>
          <w:tcPr>
            <w:tcW w:w="252" w:type="dxa"/>
            <w:tcBorders>
              <w:top w:val="single" w:sz="4" w:space="0" w:color="auto"/>
              <w:left w:val="nil"/>
              <w:right w:val="nil"/>
            </w:tcBorders>
          </w:tcPr>
          <w:p w14:paraId="0063DF24" w14:textId="77777777" w:rsidR="005B0B73" w:rsidRPr="005B0B73" w:rsidRDefault="005B0B73" w:rsidP="005B0B73">
            <w:pPr>
              <w:keepNext/>
              <w:widowControl w:val="0"/>
              <w:spacing w:after="160" w:line="256" w:lineRule="auto"/>
              <w:jc w:val="center"/>
              <w:rPr>
                <w:rFonts w:asciiTheme="minorHAnsi" w:eastAsiaTheme="minorHAnsi" w:hAnsiTheme="minorHAnsi" w:cstheme="minorBidi"/>
                <w:b/>
                <w:bCs/>
                <w:color w:val="000000"/>
                <w:sz w:val="20"/>
                <w:szCs w:val="22"/>
              </w:rPr>
            </w:pPr>
          </w:p>
        </w:tc>
      </w:tr>
      <w:tr w:rsidR="005B0B73" w:rsidRPr="005B0B73" w14:paraId="4C610F18" w14:textId="77777777" w:rsidTr="00014F3D">
        <w:trPr>
          <w:trHeight w:val="467"/>
          <w:jc w:val="center"/>
        </w:trPr>
        <w:tc>
          <w:tcPr>
            <w:tcW w:w="2970" w:type="dxa"/>
            <w:tcBorders>
              <w:left w:val="nil"/>
              <w:bottom w:val="nil"/>
              <w:right w:val="nil"/>
            </w:tcBorders>
            <w:noWrap/>
            <w:vAlign w:val="center"/>
          </w:tcPr>
          <w:p w14:paraId="0C155F78" w14:textId="77777777" w:rsidR="005B0B73" w:rsidRPr="005B0B73" w:rsidRDefault="005B0B73" w:rsidP="005B0B73">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People per acre</w:t>
            </w:r>
          </w:p>
        </w:tc>
        <w:tc>
          <w:tcPr>
            <w:tcW w:w="1351" w:type="dxa"/>
            <w:tcBorders>
              <w:left w:val="nil"/>
              <w:bottom w:val="nil"/>
              <w:right w:val="nil"/>
            </w:tcBorders>
            <w:noWrap/>
            <w:vAlign w:val="center"/>
          </w:tcPr>
          <w:p w14:paraId="2AFC344D"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tcBorders>
              <w:left w:val="nil"/>
              <w:bottom w:val="nil"/>
              <w:right w:val="nil"/>
            </w:tcBorders>
            <w:noWrap/>
            <w:vAlign w:val="center"/>
          </w:tcPr>
          <w:p w14:paraId="286F325D"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4.6</w:t>
            </w:r>
          </w:p>
        </w:tc>
        <w:tc>
          <w:tcPr>
            <w:tcW w:w="1352" w:type="dxa"/>
            <w:tcBorders>
              <w:left w:val="nil"/>
              <w:bottom w:val="nil"/>
              <w:right w:val="nil"/>
            </w:tcBorders>
          </w:tcPr>
          <w:p w14:paraId="4CEBF546"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4.6</w:t>
            </w:r>
          </w:p>
        </w:tc>
        <w:tc>
          <w:tcPr>
            <w:tcW w:w="252" w:type="dxa"/>
            <w:tcBorders>
              <w:left w:val="nil"/>
              <w:bottom w:val="nil"/>
              <w:right w:val="nil"/>
            </w:tcBorders>
          </w:tcPr>
          <w:p w14:paraId="132D4FF4" w14:textId="77777777" w:rsidR="005B0B73" w:rsidRPr="005B0B73" w:rsidRDefault="005B0B73"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5B0B73" w:rsidRPr="005B0B73" w14:paraId="0E99BB9B" w14:textId="77777777" w:rsidTr="00014F3D">
        <w:trPr>
          <w:trHeight w:val="315"/>
          <w:jc w:val="center"/>
        </w:trPr>
        <w:tc>
          <w:tcPr>
            <w:tcW w:w="2970" w:type="dxa"/>
            <w:noWrap/>
            <w:vAlign w:val="center"/>
            <w:hideMark/>
          </w:tcPr>
          <w:p w14:paraId="428CE230" w14:textId="399E9353" w:rsidR="005B0B73" w:rsidRPr="005B0B73" w:rsidRDefault="008A2AC4" w:rsidP="005B0B73">
            <w:pPr>
              <w:keepNext/>
              <w:widowControl w:val="0"/>
              <w:spacing w:after="160" w:line="256" w:lineRule="auto"/>
              <w:rPr>
                <w:rFonts w:eastAsiaTheme="minorHAnsi"/>
                <w:bCs/>
                <w:color w:val="000000"/>
                <w:sz w:val="20"/>
                <w:szCs w:val="22"/>
              </w:rPr>
            </w:pPr>
            <w:r>
              <w:rPr>
                <w:rFonts w:eastAsiaTheme="minorHAnsi"/>
                <w:bCs/>
                <w:color w:val="000000"/>
                <w:sz w:val="20"/>
                <w:szCs w:val="22"/>
              </w:rPr>
              <w:t>ULI</w:t>
            </w:r>
          </w:p>
        </w:tc>
        <w:tc>
          <w:tcPr>
            <w:tcW w:w="1351" w:type="dxa"/>
            <w:noWrap/>
            <w:vAlign w:val="center"/>
            <w:hideMark/>
          </w:tcPr>
          <w:p w14:paraId="31CE1671"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noWrap/>
            <w:vAlign w:val="center"/>
            <w:hideMark/>
          </w:tcPr>
          <w:p w14:paraId="4A3FC012"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3.1</w:t>
            </w:r>
          </w:p>
        </w:tc>
        <w:tc>
          <w:tcPr>
            <w:tcW w:w="1352" w:type="dxa"/>
            <w:vAlign w:val="center"/>
          </w:tcPr>
          <w:p w14:paraId="0AB85646"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4.8</w:t>
            </w:r>
          </w:p>
        </w:tc>
        <w:tc>
          <w:tcPr>
            <w:tcW w:w="252" w:type="dxa"/>
          </w:tcPr>
          <w:p w14:paraId="5CD265D6" w14:textId="77777777" w:rsidR="005B0B73" w:rsidRPr="005B0B73" w:rsidRDefault="005B0B73"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5B0B73" w:rsidRPr="005B0B73" w14:paraId="090439C0" w14:textId="77777777" w:rsidTr="00014F3D">
        <w:trPr>
          <w:trHeight w:val="300"/>
          <w:jc w:val="center"/>
        </w:trPr>
        <w:tc>
          <w:tcPr>
            <w:tcW w:w="2970" w:type="dxa"/>
            <w:noWrap/>
            <w:vAlign w:val="center"/>
          </w:tcPr>
          <w:p w14:paraId="3ABEDC43" w14:textId="77777777" w:rsidR="005B0B73" w:rsidRPr="005B0B73" w:rsidRDefault="005B0B73" w:rsidP="005B0B73">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Road network density</w:t>
            </w:r>
          </w:p>
        </w:tc>
        <w:tc>
          <w:tcPr>
            <w:tcW w:w="1351" w:type="dxa"/>
            <w:noWrap/>
            <w:vAlign w:val="center"/>
          </w:tcPr>
          <w:p w14:paraId="4714BD99"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noWrap/>
            <w:vAlign w:val="center"/>
          </w:tcPr>
          <w:p w14:paraId="01BA6676"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w:t>
            </w:r>
          </w:p>
        </w:tc>
        <w:tc>
          <w:tcPr>
            <w:tcW w:w="1352" w:type="dxa"/>
          </w:tcPr>
          <w:p w14:paraId="66F9621B"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6.1</w:t>
            </w:r>
          </w:p>
        </w:tc>
        <w:tc>
          <w:tcPr>
            <w:tcW w:w="252" w:type="dxa"/>
          </w:tcPr>
          <w:p w14:paraId="08358A38" w14:textId="77777777" w:rsidR="005B0B73" w:rsidRPr="005B0B73" w:rsidRDefault="005B0B73"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5B0B73" w:rsidRPr="005B0B73" w14:paraId="21AD8A09" w14:textId="77777777" w:rsidTr="00014F3D">
        <w:trPr>
          <w:trHeight w:val="300"/>
          <w:jc w:val="center"/>
        </w:trPr>
        <w:tc>
          <w:tcPr>
            <w:tcW w:w="2970" w:type="dxa"/>
            <w:noWrap/>
            <w:vAlign w:val="center"/>
          </w:tcPr>
          <w:p w14:paraId="02281F18" w14:textId="77777777" w:rsidR="005B0B73" w:rsidRPr="005B0B73" w:rsidRDefault="005B0B73" w:rsidP="005B0B73">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Block size</w:t>
            </w:r>
          </w:p>
        </w:tc>
        <w:tc>
          <w:tcPr>
            <w:tcW w:w="1351" w:type="dxa"/>
            <w:noWrap/>
            <w:vAlign w:val="center"/>
          </w:tcPr>
          <w:p w14:paraId="583D92DD"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noWrap/>
            <w:vAlign w:val="center"/>
          </w:tcPr>
          <w:p w14:paraId="4D381C80"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3.1</w:t>
            </w:r>
          </w:p>
        </w:tc>
        <w:tc>
          <w:tcPr>
            <w:tcW w:w="1352" w:type="dxa"/>
          </w:tcPr>
          <w:p w14:paraId="7CAA40C6" w14:textId="77777777" w:rsidR="005B0B73" w:rsidRPr="005B0B73" w:rsidRDefault="005B0B73"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w:t>
            </w:r>
          </w:p>
        </w:tc>
        <w:tc>
          <w:tcPr>
            <w:tcW w:w="252" w:type="dxa"/>
          </w:tcPr>
          <w:p w14:paraId="2A83E9D0" w14:textId="77777777" w:rsidR="005B0B73" w:rsidRPr="005B0B73" w:rsidRDefault="005B0B73"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014F3D" w:rsidRPr="005B0B73" w14:paraId="78BB19BA" w14:textId="77777777" w:rsidTr="00014F3D">
        <w:trPr>
          <w:trHeight w:val="300"/>
          <w:jc w:val="center"/>
        </w:trPr>
        <w:tc>
          <w:tcPr>
            <w:tcW w:w="2970" w:type="dxa"/>
            <w:noWrap/>
            <w:vAlign w:val="center"/>
          </w:tcPr>
          <w:p w14:paraId="19953AF6" w14:textId="11B3E7BE" w:rsidR="00014F3D" w:rsidRPr="005B0B73" w:rsidRDefault="00014F3D" w:rsidP="005B0B73">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Transit access</w:t>
            </w:r>
          </w:p>
        </w:tc>
        <w:tc>
          <w:tcPr>
            <w:tcW w:w="1351" w:type="dxa"/>
            <w:noWrap/>
            <w:vAlign w:val="center"/>
          </w:tcPr>
          <w:p w14:paraId="0D03B1FB" w14:textId="3DCE0CA3"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noWrap/>
            <w:vAlign w:val="center"/>
          </w:tcPr>
          <w:p w14:paraId="61CFB004" w14:textId="24C78DED"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3.5</w:t>
            </w:r>
          </w:p>
        </w:tc>
        <w:tc>
          <w:tcPr>
            <w:tcW w:w="1352" w:type="dxa"/>
          </w:tcPr>
          <w:p w14:paraId="77A06E61" w14:textId="169C863B"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4.7</w:t>
            </w:r>
          </w:p>
        </w:tc>
        <w:tc>
          <w:tcPr>
            <w:tcW w:w="252" w:type="dxa"/>
          </w:tcPr>
          <w:p w14:paraId="60B772C7" w14:textId="77777777" w:rsidR="00014F3D" w:rsidRPr="005B0B73" w:rsidRDefault="00014F3D"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014F3D" w:rsidRPr="005B0B73" w14:paraId="30E387B8" w14:textId="77777777" w:rsidTr="00014F3D">
        <w:trPr>
          <w:trHeight w:val="300"/>
          <w:jc w:val="center"/>
        </w:trPr>
        <w:tc>
          <w:tcPr>
            <w:tcW w:w="2970" w:type="dxa"/>
            <w:noWrap/>
            <w:vAlign w:val="center"/>
            <w:hideMark/>
          </w:tcPr>
          <w:p w14:paraId="3CD6E1D1" w14:textId="6FF001B1" w:rsidR="00014F3D" w:rsidRPr="005B0B73" w:rsidRDefault="00014F3D" w:rsidP="005B0B73">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Sidewalk completeness</w:t>
            </w:r>
          </w:p>
        </w:tc>
        <w:tc>
          <w:tcPr>
            <w:tcW w:w="1351" w:type="dxa"/>
            <w:noWrap/>
            <w:vAlign w:val="center"/>
            <w:hideMark/>
          </w:tcPr>
          <w:p w14:paraId="1AA1E279" w14:textId="26CA7D6D"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noWrap/>
            <w:vAlign w:val="center"/>
          </w:tcPr>
          <w:p w14:paraId="4F7A03BD" w14:textId="7DA3CD20"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2.8</w:t>
            </w:r>
          </w:p>
        </w:tc>
        <w:tc>
          <w:tcPr>
            <w:tcW w:w="1352" w:type="dxa"/>
            <w:hideMark/>
          </w:tcPr>
          <w:p w14:paraId="16EE43F4" w14:textId="1D04DBF8" w:rsidR="00014F3D" w:rsidRPr="005B0B73" w:rsidRDefault="00014F3D" w:rsidP="005B0B73">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w:t>
            </w:r>
          </w:p>
        </w:tc>
        <w:tc>
          <w:tcPr>
            <w:tcW w:w="252" w:type="dxa"/>
          </w:tcPr>
          <w:p w14:paraId="4DB19665" w14:textId="77777777" w:rsidR="00014F3D" w:rsidRPr="005B0B73" w:rsidRDefault="00014F3D" w:rsidP="005B0B73">
            <w:pPr>
              <w:keepNext/>
              <w:widowControl w:val="0"/>
              <w:spacing w:after="160" w:line="256" w:lineRule="auto"/>
              <w:jc w:val="center"/>
              <w:rPr>
                <w:rFonts w:asciiTheme="minorHAnsi" w:eastAsiaTheme="minorHAnsi" w:hAnsiTheme="minorHAnsi" w:cstheme="minorBidi"/>
                <w:bCs/>
                <w:color w:val="000000"/>
                <w:sz w:val="20"/>
                <w:szCs w:val="22"/>
              </w:rPr>
            </w:pPr>
          </w:p>
        </w:tc>
      </w:tr>
      <w:tr w:rsidR="00014F3D" w:rsidRPr="005B0B73" w14:paraId="0048DF81" w14:textId="77777777" w:rsidTr="00014F3D">
        <w:trPr>
          <w:trHeight w:val="300"/>
          <w:jc w:val="center"/>
        </w:trPr>
        <w:tc>
          <w:tcPr>
            <w:tcW w:w="2970" w:type="dxa"/>
            <w:tcBorders>
              <w:left w:val="nil"/>
              <w:bottom w:val="single" w:sz="4" w:space="0" w:color="auto"/>
              <w:right w:val="nil"/>
            </w:tcBorders>
            <w:noWrap/>
            <w:vAlign w:val="center"/>
          </w:tcPr>
          <w:p w14:paraId="43D7930A" w14:textId="268A0ED8" w:rsidR="00014F3D" w:rsidRPr="005B0B73" w:rsidRDefault="00014F3D" w:rsidP="00014F3D">
            <w:pPr>
              <w:keepNext/>
              <w:widowControl w:val="0"/>
              <w:spacing w:after="160" w:line="256" w:lineRule="auto"/>
              <w:rPr>
                <w:rFonts w:eastAsiaTheme="minorHAnsi"/>
                <w:bCs/>
                <w:color w:val="000000"/>
                <w:sz w:val="20"/>
                <w:szCs w:val="22"/>
              </w:rPr>
            </w:pPr>
            <w:r w:rsidRPr="005B0B73">
              <w:rPr>
                <w:rFonts w:eastAsiaTheme="minorHAnsi"/>
                <w:bCs/>
                <w:color w:val="000000"/>
                <w:sz w:val="20"/>
                <w:szCs w:val="22"/>
              </w:rPr>
              <w:t xml:space="preserve">Bicycle access </w:t>
            </w:r>
          </w:p>
        </w:tc>
        <w:tc>
          <w:tcPr>
            <w:tcW w:w="1351" w:type="dxa"/>
            <w:tcBorders>
              <w:left w:val="nil"/>
              <w:bottom w:val="single" w:sz="4" w:space="0" w:color="auto"/>
              <w:right w:val="nil"/>
            </w:tcBorders>
            <w:noWrap/>
            <w:vAlign w:val="center"/>
          </w:tcPr>
          <w:p w14:paraId="4030BFA6" w14:textId="4C5E1A40" w:rsidR="00014F3D" w:rsidRPr="005B0B73" w:rsidRDefault="00014F3D" w:rsidP="00014F3D">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1 to 5</w:t>
            </w:r>
          </w:p>
        </w:tc>
        <w:tc>
          <w:tcPr>
            <w:tcW w:w="1352" w:type="dxa"/>
            <w:tcBorders>
              <w:left w:val="nil"/>
              <w:bottom w:val="single" w:sz="4" w:space="0" w:color="auto"/>
              <w:right w:val="nil"/>
            </w:tcBorders>
            <w:noWrap/>
            <w:vAlign w:val="center"/>
          </w:tcPr>
          <w:p w14:paraId="2935150E" w14:textId="1A7C6D44" w:rsidR="00014F3D" w:rsidRPr="005B0B73" w:rsidRDefault="00014F3D" w:rsidP="00014F3D">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2.8</w:t>
            </w:r>
          </w:p>
        </w:tc>
        <w:tc>
          <w:tcPr>
            <w:tcW w:w="1352" w:type="dxa"/>
            <w:tcBorders>
              <w:left w:val="nil"/>
              <w:bottom w:val="single" w:sz="4" w:space="0" w:color="auto"/>
              <w:right w:val="nil"/>
            </w:tcBorders>
          </w:tcPr>
          <w:p w14:paraId="74757414" w14:textId="542D7675" w:rsidR="00014F3D" w:rsidRPr="005B0B73" w:rsidRDefault="00014F3D" w:rsidP="00014F3D">
            <w:pPr>
              <w:keepNext/>
              <w:widowControl w:val="0"/>
              <w:spacing w:after="160" w:line="256" w:lineRule="auto"/>
              <w:jc w:val="center"/>
              <w:rPr>
                <w:rFonts w:eastAsiaTheme="minorHAnsi"/>
                <w:bCs/>
                <w:color w:val="000000"/>
                <w:sz w:val="20"/>
                <w:szCs w:val="22"/>
              </w:rPr>
            </w:pPr>
            <w:r w:rsidRPr="005B0B73">
              <w:rPr>
                <w:rFonts w:eastAsiaTheme="minorHAnsi"/>
                <w:bCs/>
                <w:color w:val="000000"/>
                <w:sz w:val="20"/>
                <w:szCs w:val="22"/>
              </w:rPr>
              <w:t>-</w:t>
            </w:r>
          </w:p>
        </w:tc>
        <w:tc>
          <w:tcPr>
            <w:tcW w:w="252" w:type="dxa"/>
            <w:tcBorders>
              <w:bottom w:val="single" w:sz="4" w:space="0" w:color="auto"/>
            </w:tcBorders>
          </w:tcPr>
          <w:p w14:paraId="58F313BB" w14:textId="77777777" w:rsidR="00014F3D" w:rsidRPr="005B0B73" w:rsidRDefault="00014F3D" w:rsidP="00014F3D">
            <w:pPr>
              <w:keepNext/>
              <w:widowControl w:val="0"/>
              <w:spacing w:after="160" w:line="256" w:lineRule="auto"/>
              <w:jc w:val="center"/>
              <w:rPr>
                <w:rFonts w:asciiTheme="minorHAnsi" w:eastAsiaTheme="minorHAnsi" w:hAnsiTheme="minorHAnsi" w:cstheme="minorBidi"/>
                <w:bCs/>
                <w:color w:val="000000"/>
                <w:sz w:val="20"/>
                <w:szCs w:val="22"/>
              </w:rPr>
            </w:pPr>
          </w:p>
        </w:tc>
      </w:tr>
    </w:tbl>
    <w:p w14:paraId="77EC8846" w14:textId="77777777" w:rsidR="005B0B73" w:rsidRDefault="005B0B73" w:rsidP="00F75D0F"/>
    <w:p w14:paraId="22828F60" w14:textId="7FE26627" w:rsidR="00F145B7" w:rsidRDefault="00014F3D" w:rsidP="00F75D0F">
      <w:r>
        <w:fldChar w:fldCharType="begin"/>
      </w:r>
      <w:r>
        <w:instrText xml:space="preserve"> REF _Ref511734950 \h </w:instrText>
      </w:r>
      <w:r>
        <w:fldChar w:fldCharType="separate"/>
      </w:r>
      <w:r w:rsidRPr="00F75D0F">
        <w:t xml:space="preserve">Figure </w:t>
      </w:r>
      <w:r>
        <w:rPr>
          <w:noProof/>
        </w:rPr>
        <w:t>4</w:t>
      </w:r>
      <w:r>
        <w:fldChar w:fldCharType="end"/>
      </w:r>
      <w:r>
        <w:t xml:space="preserve"> s</w:t>
      </w:r>
      <w:r w:rsidR="00F75D0F">
        <w:t xml:space="preserve">hows the histogram of </w:t>
      </w:r>
      <w:r>
        <w:t xml:space="preserve">the resulting </w:t>
      </w:r>
      <w:r w:rsidR="006A034B">
        <w:t xml:space="preserve">values of </w:t>
      </w:r>
      <w:r w:rsidR="00F75D0F">
        <w:t>PIE</w:t>
      </w:r>
      <w:r w:rsidR="00F75D0F">
        <w:rPr>
          <w:vertAlign w:val="subscript"/>
        </w:rPr>
        <w:t>bg</w:t>
      </w:r>
      <w:r w:rsidR="00F75D0F">
        <w:t xml:space="preserve"> </w:t>
      </w:r>
      <w:r w:rsidR="006A034B">
        <w:t xml:space="preserve">for each block group </w:t>
      </w:r>
      <w:r>
        <w:t>computed using th</w:t>
      </w:r>
      <w:r w:rsidR="00FF6C30">
        <w:t xml:space="preserve">ese data and weights </w:t>
      </w:r>
      <w:r w:rsidR="00F75D0F">
        <w:t>across the</w:t>
      </w:r>
      <w:r>
        <w:t xml:space="preserve"> Portland region</w:t>
      </w:r>
      <w:r w:rsidR="00F75D0F">
        <w:t>. The mo</w:t>
      </w:r>
      <w:r w:rsidR="00FF6C30">
        <w:t>st</w:t>
      </w:r>
      <w:r w:rsidR="00F75D0F">
        <w:t xml:space="preserve"> frequent scores </w:t>
      </w:r>
      <w:r w:rsidR="00B95548">
        <w:t xml:space="preserve">occur in a range </w:t>
      </w:r>
      <w:r w:rsidR="00E677D5">
        <w:rPr>
          <w:noProof/>
        </w:rPr>
        <w:t>between</w:t>
      </w:r>
      <w:r w:rsidR="00F75D0F">
        <w:t xml:space="preserve"> 2</w:t>
      </w:r>
      <w:r w:rsidR="00ED7AFC">
        <w:t>6</w:t>
      </w:r>
      <w:r w:rsidR="00F75D0F">
        <w:t xml:space="preserve"> and 3</w:t>
      </w:r>
      <w:r w:rsidR="00ED7AFC">
        <w:t>8</w:t>
      </w:r>
      <w:r w:rsidR="00F75D0F">
        <w:t xml:space="preserve">. </w:t>
      </w:r>
      <w:r w:rsidR="00ED7AFC">
        <w:t xml:space="preserve">We see </w:t>
      </w:r>
      <w:r w:rsidR="00ED7AFC" w:rsidRPr="00014F3D">
        <w:t>a limited number of locations that have high scores of PIE</w:t>
      </w:r>
      <w:r w:rsidR="00ED7AFC" w:rsidRPr="00014F3D">
        <w:rPr>
          <w:vertAlign w:val="subscript"/>
        </w:rPr>
        <w:t>bg</w:t>
      </w:r>
      <w:r w:rsidR="00ED7AFC" w:rsidRPr="00014F3D">
        <w:t xml:space="preserve">, which is characteristic of many North American cities. </w:t>
      </w:r>
    </w:p>
    <w:p w14:paraId="46A22EF9" w14:textId="1D65B556" w:rsidR="00F256F8" w:rsidRDefault="00E61E85" w:rsidP="0078588B">
      <w:pPr>
        <w:pStyle w:val="BodyText"/>
        <w:jc w:val="center"/>
      </w:pPr>
      <w:bookmarkStart w:id="34" w:name="_Ref511734950"/>
      <w:r>
        <w:rPr>
          <w:noProof/>
        </w:rPr>
        <w:lastRenderedPageBreak/>
        <w:drawing>
          <wp:inline distT="0" distB="0" distL="0" distR="0" wp14:anchorId="59A1FC4F" wp14:editId="0A09EE24">
            <wp:extent cx="5137150" cy="3424767"/>
            <wp:effectExtent l="0" t="0" r="0" b="0"/>
            <wp:docPr id="7" name="Picture 7" descr="C:\Users\Jaime9\AppData\Local\Microsoft\Windows\INetCache\Content.Word\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descr="C:\Users\Jaime9\AppData\Local\Microsoft\Windows\INetCache\Content.Word\histogram.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2418" cy="3401613"/>
                    </a:xfrm>
                    <a:prstGeom prst="rect">
                      <a:avLst/>
                    </a:prstGeom>
                    <a:noFill/>
                    <a:ln>
                      <a:noFill/>
                    </a:ln>
                  </pic:spPr>
                </pic:pic>
              </a:graphicData>
            </a:graphic>
          </wp:inline>
        </w:drawing>
      </w:r>
    </w:p>
    <w:p w14:paraId="4E4F9F9D" w14:textId="75B43246" w:rsidR="00471AD7" w:rsidRDefault="00471AD7" w:rsidP="008628AD">
      <w:pPr>
        <w:pStyle w:val="BodyText"/>
        <w:jc w:val="center"/>
      </w:pPr>
      <w:bookmarkStart w:id="35" w:name="_Ref521939572"/>
      <w:bookmarkStart w:id="36" w:name="_Toc2003581"/>
      <w:r w:rsidRPr="00F75D0F">
        <w:t xml:space="preserve">Figure </w:t>
      </w:r>
      <w:fldSimple w:instr=" SEQ Figure \* ARABIC ">
        <w:r w:rsidR="00721680">
          <w:rPr>
            <w:noProof/>
          </w:rPr>
          <w:t>4</w:t>
        </w:r>
      </w:fldSimple>
      <w:bookmarkEnd w:id="34"/>
      <w:bookmarkEnd w:id="35"/>
      <w:r w:rsidRPr="00F75D0F">
        <w:t xml:space="preserve"> Frequency distribution of PIE</w:t>
      </w:r>
      <w:r w:rsidRPr="00F75D0F">
        <w:rPr>
          <w:vertAlign w:val="subscript"/>
        </w:rPr>
        <w:t>bg</w:t>
      </w:r>
      <w:r w:rsidRPr="00F75D0F">
        <w:t xml:space="preserve"> scores by block group</w:t>
      </w:r>
      <w:bookmarkEnd w:id="36"/>
    </w:p>
    <w:p w14:paraId="3337A674" w14:textId="77777777" w:rsidR="004E6B23" w:rsidRDefault="004E6B23" w:rsidP="008628AD">
      <w:pPr>
        <w:pStyle w:val="BodyText"/>
        <w:jc w:val="center"/>
      </w:pPr>
    </w:p>
    <w:p w14:paraId="55D797F4" w14:textId="77777777" w:rsidR="004E6B23" w:rsidRDefault="00983295" w:rsidP="004E6B23">
      <w:pPr>
        <w:pStyle w:val="BodyText"/>
        <w:jc w:val="center"/>
      </w:pPr>
      <w:r>
        <w:pict w14:anchorId="6FA5C678">
          <v:shape id="_x0000_i1026" type="#_x0000_t75" style="width:396pt;height:263.25pt">
            <v:imagedata r:id="rId17" o:title="histogram1"/>
          </v:shape>
        </w:pict>
      </w:r>
    </w:p>
    <w:p w14:paraId="502D3DF0" w14:textId="11B2D66E" w:rsidR="008628AD" w:rsidRPr="008628AD" w:rsidRDefault="008628AD" w:rsidP="004E6B23">
      <w:pPr>
        <w:pStyle w:val="BodyText"/>
        <w:jc w:val="center"/>
      </w:pPr>
      <w:bookmarkStart w:id="37" w:name="_Toc2003582"/>
      <w:r>
        <w:t xml:space="preserve">Figure </w:t>
      </w:r>
      <w:fldSimple w:instr=" SEQ Figure \* ARABIC ">
        <w:r w:rsidR="00721680">
          <w:rPr>
            <w:noProof/>
          </w:rPr>
          <w:t>5</w:t>
        </w:r>
      </w:fldSimple>
      <w:r>
        <w:t xml:space="preserve"> Land percentage by PIE</w:t>
      </w:r>
      <w:r>
        <w:rPr>
          <w:vertAlign w:val="subscript"/>
        </w:rPr>
        <w:t>bg</w:t>
      </w:r>
      <w:r>
        <w:t xml:space="preserve"> score</w:t>
      </w:r>
      <w:bookmarkEnd w:id="37"/>
    </w:p>
    <w:p w14:paraId="0AA7308D" w14:textId="5907D42C" w:rsidR="00683FF6" w:rsidRDefault="00683FF6" w:rsidP="00683FF6">
      <w:r>
        <w:lastRenderedPageBreak/>
        <w:fldChar w:fldCharType="begin"/>
      </w:r>
      <w:r>
        <w:instrText xml:space="preserve"> REF _Ref511735095 \h </w:instrText>
      </w:r>
      <w:r>
        <w:fldChar w:fldCharType="separate"/>
      </w:r>
      <w:r w:rsidRPr="00F75D0F">
        <w:t xml:space="preserve">Figure </w:t>
      </w:r>
      <w:r>
        <w:rPr>
          <w:noProof/>
        </w:rPr>
        <w:t>5</w:t>
      </w:r>
      <w:r>
        <w:fldChar w:fldCharType="end"/>
      </w:r>
      <w:r>
        <w:t xml:space="preserve"> shows this distribution spatially. The highest scores of PIE</w:t>
      </w:r>
      <w:r w:rsidRPr="0090004D">
        <w:rPr>
          <w:vertAlign w:val="subscript"/>
        </w:rPr>
        <w:t>bg</w:t>
      </w:r>
      <w:r>
        <w:t xml:space="preserve"> (shown in red) are all concentrated in the Central City of Portland. In contrast, the vast majority of the region has scores that are under 30 (dark green).  When analyzing the large patterns of the metro area, around the 90% of the land area has slightly less than half of the total population, a large share of this area is mainly rural/exurban. </w:t>
      </w:r>
      <w:bookmarkEnd w:id="29"/>
      <w:r w:rsidR="00F75D0F">
        <w:t xml:space="preserve">Furthermore, the </w:t>
      </w:r>
      <w:r>
        <w:t xml:space="preserve">areas with </w:t>
      </w:r>
      <w:r w:rsidR="00E677D5">
        <w:t xml:space="preserve">the </w:t>
      </w:r>
      <w:r w:rsidR="00F75D0F" w:rsidRPr="007B2ACF">
        <w:rPr>
          <w:noProof/>
        </w:rPr>
        <w:t>highe</w:t>
      </w:r>
      <w:r w:rsidRPr="007B2ACF">
        <w:rPr>
          <w:noProof/>
        </w:rPr>
        <w:t>st</w:t>
      </w:r>
      <w:r w:rsidR="00F75D0F">
        <w:t xml:space="preserve"> walk</w:t>
      </w:r>
      <w:r>
        <w:t>ability have</w:t>
      </w:r>
      <w:r w:rsidR="00F75D0F">
        <w:t xml:space="preserve"> scores that ranges between 40 and 100 represent less than the 1% of the area</w:t>
      </w:r>
      <w:r>
        <w:t xml:space="preserve"> and only </w:t>
      </w:r>
      <w:r w:rsidR="00F75D0F">
        <w:t xml:space="preserve">5% of the population (~6.5% of the households sampled) and generates almost 14% of the </w:t>
      </w:r>
      <w:r w:rsidR="0046550D">
        <w:t xml:space="preserve">total </w:t>
      </w:r>
      <w:r w:rsidR="00F75D0F">
        <w:t xml:space="preserve">trips of the region. </w:t>
      </w:r>
      <w:r>
        <w:t xml:space="preserve">Visually from </w:t>
      </w:r>
      <w:r>
        <w:fldChar w:fldCharType="begin"/>
      </w:r>
      <w:r>
        <w:instrText xml:space="preserve"> REF _Ref513458620 \h </w:instrText>
      </w:r>
      <w:r>
        <w:fldChar w:fldCharType="separate"/>
      </w:r>
      <w:r>
        <w:t xml:space="preserve">Figure </w:t>
      </w:r>
      <w:r>
        <w:rPr>
          <w:noProof/>
        </w:rPr>
        <w:t>1</w:t>
      </w:r>
      <w:r>
        <w:fldChar w:fldCharType="end"/>
      </w:r>
      <w:r w:rsidR="00744CA2">
        <w:t xml:space="preserve"> </w:t>
      </w:r>
      <w:r>
        <w:t xml:space="preserve">and </w:t>
      </w:r>
      <w:r>
        <w:fldChar w:fldCharType="begin"/>
      </w:r>
      <w:r>
        <w:instrText xml:space="preserve"> REF _Ref511735095 \h </w:instrText>
      </w:r>
      <w:r>
        <w:fldChar w:fldCharType="separate"/>
      </w:r>
      <w:r w:rsidRPr="00F75D0F">
        <w:t xml:space="preserve">Figure </w:t>
      </w:r>
      <w:r>
        <w:rPr>
          <w:noProof/>
        </w:rPr>
        <w:t>5</w:t>
      </w:r>
      <w:r>
        <w:fldChar w:fldCharType="end"/>
      </w:r>
      <w:r>
        <w:t xml:space="preserve">, we can see that despite the differences in the data sources, scale, and weighting scheme, the </w:t>
      </w:r>
      <w:r w:rsidR="00305A1E">
        <w:t xml:space="preserve">two walkability measures track similarly across the region. We will investigate these differences statistically and in models of walking below. </w:t>
      </w:r>
    </w:p>
    <w:p w14:paraId="416056EA" w14:textId="77777777" w:rsidR="00B81023" w:rsidRDefault="00B81023" w:rsidP="00683FF6"/>
    <w:p w14:paraId="1112FFF0" w14:textId="101FB881" w:rsidR="00F75D0F" w:rsidRDefault="00983295" w:rsidP="00F75D0F">
      <w:pPr>
        <w:pStyle w:val="BodyText"/>
        <w:jc w:val="center"/>
      </w:pPr>
      <w:r>
        <w:pict w14:anchorId="345F254D">
          <v:shape id="_x0000_i1027" type="#_x0000_t75" style="width:467.25pt;height:361.15pt">
            <v:imagedata r:id="rId18" o:title="PIEbg_proper"/>
          </v:shape>
        </w:pict>
      </w:r>
    </w:p>
    <w:p w14:paraId="20F1639F" w14:textId="0E612DBC" w:rsidR="00F75D0F" w:rsidRPr="00F75D0F" w:rsidRDefault="00F75D0F" w:rsidP="00FA1EDF">
      <w:pPr>
        <w:pStyle w:val="Caption"/>
      </w:pPr>
      <w:bookmarkStart w:id="38" w:name="_Ref511735095"/>
      <w:bookmarkStart w:id="39" w:name="_Toc2003583"/>
      <w:r w:rsidRPr="00F75D0F">
        <w:t xml:space="preserve">Figure </w:t>
      </w:r>
      <w:fldSimple w:instr=" SEQ Figure \* ARABIC ">
        <w:r w:rsidR="00721680">
          <w:rPr>
            <w:noProof/>
          </w:rPr>
          <w:t>6</w:t>
        </w:r>
      </w:fldSimple>
      <w:bookmarkEnd w:id="38"/>
      <w:r w:rsidRPr="00F75D0F">
        <w:t xml:space="preserve"> PIE</w:t>
      </w:r>
      <w:r w:rsidRPr="00F75D0F">
        <w:rPr>
          <w:vertAlign w:val="subscript"/>
        </w:rPr>
        <w:t>bg</w:t>
      </w:r>
      <w:r w:rsidRPr="00F75D0F">
        <w:t xml:space="preserve"> distribution in Portland</w:t>
      </w:r>
      <w:bookmarkEnd w:id="39"/>
    </w:p>
    <w:p w14:paraId="4BB73A74" w14:textId="1FB8379E" w:rsidR="00F75D0F" w:rsidRDefault="00FE484E" w:rsidP="002D30FE">
      <w:pPr>
        <w:pStyle w:val="BodyText"/>
      </w:pPr>
      <w:r w:rsidRPr="002930B5">
        <w:t>The</w:t>
      </w:r>
      <w:r>
        <w:t xml:space="preserve"> two versions of PIE</w:t>
      </w:r>
      <w:r w:rsidR="00FD668A">
        <w:t xml:space="preserve">, </w:t>
      </w:r>
      <w:r>
        <w:t>PIE</w:t>
      </w:r>
      <w:r w:rsidRPr="00B9429A">
        <w:rPr>
          <w:vertAlign w:val="subscript"/>
        </w:rPr>
        <w:t>0</w:t>
      </w:r>
      <w:r w:rsidR="00E677D5">
        <w:rPr>
          <w:vertAlign w:val="subscript"/>
        </w:rPr>
        <w:t>,</w:t>
      </w:r>
      <w:r w:rsidR="00FD668A">
        <w:t xml:space="preserve"> </w:t>
      </w:r>
      <w:r w:rsidR="00FD668A" w:rsidRPr="00B775A9">
        <w:rPr>
          <w:noProof/>
        </w:rPr>
        <w:t>and</w:t>
      </w:r>
      <w:r>
        <w:t xml:space="preserve"> </w:t>
      </w:r>
      <w:r w:rsidRPr="00E677D5">
        <w:rPr>
          <w:noProof/>
        </w:rPr>
        <w:t>PIE</w:t>
      </w:r>
      <w:r w:rsidRPr="00E677D5">
        <w:rPr>
          <w:noProof/>
          <w:vertAlign w:val="subscript"/>
        </w:rPr>
        <w:t>bg</w:t>
      </w:r>
      <w:r w:rsidR="00FD668A">
        <w:rPr>
          <w:vertAlign w:val="subscript"/>
        </w:rPr>
        <w:t xml:space="preserve"> </w:t>
      </w:r>
      <w:r w:rsidR="00FD668A">
        <w:t>are compared f</w:t>
      </w:r>
      <w:r w:rsidR="0014664A">
        <w:t>or each block group in the study area</w:t>
      </w:r>
      <w:r>
        <w:t>. PIE</w:t>
      </w:r>
      <w:r w:rsidRPr="006449AF">
        <w:rPr>
          <w:vertAlign w:val="subscript"/>
        </w:rPr>
        <w:t>0</w:t>
      </w:r>
      <w:r w:rsidR="0014664A">
        <w:t xml:space="preserve"> is</w:t>
      </w:r>
      <w:r>
        <w:t xml:space="preserve"> calculated at the pedestrian analysis zone, was averaged over the block group and plotted against the value </w:t>
      </w:r>
      <w:r w:rsidR="00684518">
        <w:t xml:space="preserve">of </w:t>
      </w:r>
      <w:r>
        <w:t>PIE</w:t>
      </w:r>
      <w:r w:rsidRPr="00B9429A">
        <w:rPr>
          <w:vertAlign w:val="subscript"/>
        </w:rPr>
        <w:t>bg</w:t>
      </w:r>
      <w:r>
        <w:rPr>
          <w:vertAlign w:val="subscript"/>
        </w:rPr>
        <w:t>.</w:t>
      </w:r>
      <w:r>
        <w:t xml:space="preserve"> Both ind</w:t>
      </w:r>
      <w:r w:rsidR="00684518">
        <w:t>ice</w:t>
      </w:r>
      <w:r>
        <w:t xml:space="preserve">s were calculated using dependent variables between 1 and </w:t>
      </w:r>
      <w:r w:rsidR="006B04C2">
        <w:t>5 and</w:t>
      </w:r>
      <w:r>
        <w:t xml:space="preserve"> were weighted to have values between 20 and 100. </w:t>
      </w:r>
      <w:r w:rsidR="00B62D8A">
        <w:fldChar w:fldCharType="begin"/>
      </w:r>
      <w:r w:rsidR="00B62D8A">
        <w:instrText xml:space="preserve"> REF _Ref513461870 \h </w:instrText>
      </w:r>
      <w:r w:rsidR="00B62D8A">
        <w:fldChar w:fldCharType="separate"/>
      </w:r>
      <w:r w:rsidR="00B62D8A">
        <w:t xml:space="preserve">Figure </w:t>
      </w:r>
      <w:r w:rsidR="00B62D8A">
        <w:rPr>
          <w:noProof/>
        </w:rPr>
        <w:t>6</w:t>
      </w:r>
      <w:r w:rsidR="00B62D8A">
        <w:fldChar w:fldCharType="end"/>
      </w:r>
      <w:r w:rsidR="00B62D8A">
        <w:t xml:space="preserve"> </w:t>
      </w:r>
      <w:r>
        <w:t>shows the comparison of the two constructs in Portland, OR.</w:t>
      </w:r>
      <w:r w:rsidR="006B04C2">
        <w:t xml:space="preserve"> As mentioned earlier</w:t>
      </w:r>
      <w:r>
        <w:t>, PIE</w:t>
      </w:r>
      <w:r w:rsidRPr="00B9429A">
        <w:rPr>
          <w:vertAlign w:val="subscript"/>
        </w:rPr>
        <w:t>bg</w:t>
      </w:r>
      <w:r>
        <w:t xml:space="preserve"> scores are generally lower in value than PIE</w:t>
      </w:r>
      <w:r w:rsidRPr="00B9429A">
        <w:rPr>
          <w:vertAlign w:val="subscript"/>
        </w:rPr>
        <w:t>0</w:t>
      </w:r>
      <w:r>
        <w:rPr>
          <w:vertAlign w:val="subscript"/>
        </w:rPr>
        <w:t xml:space="preserve"> </w:t>
      </w:r>
      <w:r>
        <w:t xml:space="preserve">scores. This is due to differences in our approaches to scaling the </w:t>
      </w:r>
      <w:r w:rsidRPr="00E677D5">
        <w:rPr>
          <w:noProof/>
        </w:rPr>
        <w:t>original</w:t>
      </w:r>
      <w:r w:rsidR="00E677D5">
        <w:rPr>
          <w:noProof/>
        </w:rPr>
        <w:t>ly</w:t>
      </w:r>
      <w:r>
        <w:t xml:space="preserve"> built environment data (discrete values with natural breaks for PIE</w:t>
      </w:r>
      <w:r w:rsidRPr="00B9429A">
        <w:rPr>
          <w:vertAlign w:val="subscript"/>
        </w:rPr>
        <w:t>0</w:t>
      </w:r>
      <w:r>
        <w:t xml:space="preserve">; continuous rescaled data for </w:t>
      </w:r>
      <w:r>
        <w:lastRenderedPageBreak/>
        <w:t>PIE</w:t>
      </w:r>
      <w:r>
        <w:rPr>
          <w:vertAlign w:val="subscript"/>
        </w:rPr>
        <w:t>bg</w:t>
      </w:r>
      <w:r>
        <w:t>). However, both measures are coherent as the differences only reflect a change in the scale of the score, but both rise together.</w:t>
      </w:r>
    </w:p>
    <w:p w14:paraId="7FF78333" w14:textId="722AF755" w:rsidR="002F7D87" w:rsidRDefault="006B04C2" w:rsidP="006B04C2">
      <w:pPr>
        <w:pStyle w:val="BodyText"/>
      </w:pPr>
      <w:r>
        <w:t xml:space="preserve">An interesting observation of this graph the </w:t>
      </w:r>
      <w:r w:rsidRPr="00E677D5">
        <w:rPr>
          <w:noProof/>
        </w:rPr>
        <w:t>breakpoint</w:t>
      </w:r>
      <w:r>
        <w:t xml:space="preserve"> in the PIE</w:t>
      </w:r>
      <w:r>
        <w:rPr>
          <w:vertAlign w:val="subscript"/>
        </w:rPr>
        <w:t>bg</w:t>
      </w:r>
      <w:r>
        <w:t xml:space="preserve"> score of 40 or PIE</w:t>
      </w:r>
      <w:r>
        <w:rPr>
          <w:vertAlign w:val="subscript"/>
        </w:rPr>
        <w:t>0</w:t>
      </w:r>
      <w:r>
        <w:t xml:space="preserve"> of 70. This is what </w:t>
      </w:r>
      <w:r>
        <w:fldChar w:fldCharType="begin"/>
      </w:r>
      <w:r>
        <w:instrText xml:space="preserve"> REF _Ref511735095 \h </w:instrText>
      </w:r>
      <w:r>
        <w:fldChar w:fldCharType="separate"/>
      </w:r>
      <w:r>
        <w:t xml:space="preserve">Figure </w:t>
      </w:r>
      <w:r>
        <w:rPr>
          <w:noProof/>
        </w:rPr>
        <w:t>3</w:t>
      </w:r>
      <w:r>
        <w:noBreakHyphen/>
      </w:r>
      <w:r>
        <w:rPr>
          <w:noProof/>
        </w:rPr>
        <w:t>4</w:t>
      </w:r>
      <w:r>
        <w:fldChar w:fldCharType="end"/>
      </w:r>
      <w:r>
        <w:t xml:space="preserve"> would be the central city of Portland plus some outer neighborhoods or cities commercial areas. The notion is that in more walking areas the difference between both PIE become smaller, almost reaching the same value in the highest values. This would mean, that in higher values the continuous rescaling of PIE</w:t>
      </w:r>
      <w:r>
        <w:rPr>
          <w:vertAlign w:val="subscript"/>
        </w:rPr>
        <w:t>bg</w:t>
      </w:r>
      <w:r>
        <w:t xml:space="preserve"> is more similar to the natural breaks approach of PIE</w:t>
      </w:r>
      <w:r>
        <w:rPr>
          <w:vertAlign w:val="subscript"/>
        </w:rPr>
        <w:t>0</w:t>
      </w:r>
      <w:r>
        <w:t xml:space="preserve">. Consequently, this could be interpreted as that the higher values of the characterization of the built environment are more clustered, meaning that the measures used by both versions of PIE become similar. </w:t>
      </w:r>
    </w:p>
    <w:p w14:paraId="032766BA" w14:textId="07461380" w:rsidR="006B04C2" w:rsidRPr="002D30FE" w:rsidRDefault="006B04C2" w:rsidP="006B04C2">
      <w:pPr>
        <w:pStyle w:val="BodyText"/>
      </w:pPr>
      <w:r>
        <w:t>In sum, PIE</w:t>
      </w:r>
      <w:r w:rsidRPr="006B04C2">
        <w:rPr>
          <w:vertAlign w:val="subscript"/>
        </w:rPr>
        <w:t>bg</w:t>
      </w:r>
      <w:r>
        <w:t xml:space="preserve"> is coincident with an aggregated PIE</w:t>
      </w:r>
      <w:r w:rsidRPr="006B04C2">
        <w:rPr>
          <w:vertAlign w:val="subscript"/>
        </w:rPr>
        <w:t>0</w:t>
      </w:r>
      <w:r>
        <w:t xml:space="preserve"> with some caveats. </w:t>
      </w:r>
      <w:r w:rsidR="00386E2A">
        <w:t xml:space="preserve">PIEbg is less sensitive to changes in the built environment for suburban contexts and more sensitive in more urban areas than PIE0. These differences are </w:t>
      </w:r>
      <w:r w:rsidR="00E25FE4">
        <w:t xml:space="preserve">likely </w:t>
      </w:r>
      <w:r w:rsidR="00386E2A">
        <w:t>due to the reliance on natural breaks in PIE</w:t>
      </w:r>
      <w:r w:rsidR="00386E2A" w:rsidRPr="00386E2A">
        <w:rPr>
          <w:vertAlign w:val="subscript"/>
        </w:rPr>
        <w:t>0</w:t>
      </w:r>
      <w:r w:rsidR="00386E2A">
        <w:t xml:space="preserve"> and continuous breaks in PIE</w:t>
      </w:r>
      <w:r w:rsidR="00386E2A" w:rsidRPr="00386E2A">
        <w:rPr>
          <w:vertAlign w:val="subscript"/>
        </w:rPr>
        <w:t>bg</w:t>
      </w:r>
      <w:r w:rsidR="00E25FE4">
        <w:t xml:space="preserve"> than the use of different data sources or the change in scale. The next section will explore </w:t>
      </w:r>
      <w:r w:rsidR="00BF275E">
        <w:t xml:space="preserve">how PIEbg as a measure of walkability </w:t>
      </w:r>
      <w:r w:rsidR="00587F9E">
        <w:t xml:space="preserve">is associated with walk mode share at the block group level across the region. </w:t>
      </w:r>
    </w:p>
    <w:p w14:paraId="76C294BB" w14:textId="1F015BD8" w:rsidR="00693EC6" w:rsidRDefault="00FE484E" w:rsidP="00FE484E">
      <w:pPr>
        <w:pStyle w:val="BodyText"/>
        <w:jc w:val="center"/>
      </w:pPr>
      <w:r>
        <w:rPr>
          <w:noProof/>
        </w:rPr>
        <w:drawing>
          <wp:inline distT="0" distB="0" distL="0" distR="0" wp14:anchorId="031137B0" wp14:editId="7A6ACF57">
            <wp:extent cx="4883150" cy="3914271"/>
            <wp:effectExtent l="0" t="0" r="0" b="0"/>
            <wp:docPr id="4" name="Picture 4" descr="Piebgvspi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ebgvspie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9992" cy="3943803"/>
                    </a:xfrm>
                    <a:prstGeom prst="rect">
                      <a:avLst/>
                    </a:prstGeom>
                    <a:noFill/>
                    <a:ln>
                      <a:noFill/>
                    </a:ln>
                  </pic:spPr>
                </pic:pic>
              </a:graphicData>
            </a:graphic>
          </wp:inline>
        </w:drawing>
      </w:r>
    </w:p>
    <w:p w14:paraId="01F4B5F7" w14:textId="7D4633AC" w:rsidR="00FE484E" w:rsidRDefault="00B62D8A" w:rsidP="00B775A9">
      <w:pPr>
        <w:pStyle w:val="BodyText"/>
        <w:jc w:val="center"/>
        <w:rPr>
          <w:vertAlign w:val="subscript"/>
        </w:rPr>
      </w:pPr>
      <w:bookmarkStart w:id="40" w:name="_Ref513461870"/>
      <w:bookmarkStart w:id="41" w:name="_Toc2003584"/>
      <w:r>
        <w:t xml:space="preserve">Figure </w:t>
      </w:r>
      <w:fldSimple w:instr=" SEQ Figure \* ARABIC ">
        <w:r w:rsidR="00721680">
          <w:rPr>
            <w:noProof/>
          </w:rPr>
          <w:t>7</w:t>
        </w:r>
      </w:fldSimple>
      <w:bookmarkEnd w:id="40"/>
      <w:r w:rsidR="00FE484E">
        <w:t xml:space="preserve"> PIE</w:t>
      </w:r>
      <w:r w:rsidR="00FE484E" w:rsidRPr="00B9429A">
        <w:rPr>
          <w:vertAlign w:val="subscript"/>
        </w:rPr>
        <w:t>0</w:t>
      </w:r>
      <w:r w:rsidR="00FE484E">
        <w:rPr>
          <w:vertAlign w:val="subscript"/>
        </w:rPr>
        <w:t xml:space="preserve"> </w:t>
      </w:r>
      <w:r w:rsidR="00FE484E">
        <w:t>versus PIE</w:t>
      </w:r>
      <w:r w:rsidR="00FE484E" w:rsidRPr="00B9429A">
        <w:rPr>
          <w:vertAlign w:val="subscript"/>
        </w:rPr>
        <w:t>bg</w:t>
      </w:r>
      <w:bookmarkEnd w:id="41"/>
    </w:p>
    <w:p w14:paraId="48D8339D" w14:textId="1D8CE9F0" w:rsidR="009D06D4" w:rsidRDefault="00E20FF2" w:rsidP="002D30FE">
      <w:pPr>
        <w:pStyle w:val="Heading2"/>
      </w:pPr>
      <w:bookmarkStart w:id="42" w:name="_Toc2003603"/>
      <w:r>
        <w:lastRenderedPageBreak/>
        <w:t>I</w:t>
      </w:r>
      <w:r w:rsidR="00C837B2">
        <w:t xml:space="preserve">ntraregional </w:t>
      </w:r>
      <w:r w:rsidR="0083673E">
        <w:t>measure transferability</w:t>
      </w:r>
      <w:bookmarkEnd w:id="24"/>
      <w:bookmarkEnd w:id="42"/>
      <w:r w:rsidR="0083673E">
        <w:t xml:space="preserve"> </w:t>
      </w:r>
    </w:p>
    <w:p w14:paraId="583F5727" w14:textId="6C05EEE7" w:rsidR="0046550D" w:rsidRDefault="008048B3" w:rsidP="004D7FE2">
      <w:pPr>
        <w:pStyle w:val="BodyText"/>
      </w:pPr>
      <w:r w:rsidRPr="0046550D">
        <w:t>We now turn</w:t>
      </w:r>
      <w:r>
        <w:t xml:space="preserve"> our attention to examining the question of how walk mode share varies </w:t>
      </w:r>
      <w:r w:rsidR="0046550D">
        <w:t>within a</w:t>
      </w:r>
      <w:r>
        <w:t xml:space="preserve"> region and the relationship with our measure of walkability, PIE</w:t>
      </w:r>
      <w:r w:rsidRPr="008048B3">
        <w:rPr>
          <w:vertAlign w:val="subscript"/>
        </w:rPr>
        <w:t>bg</w:t>
      </w:r>
      <w:r>
        <w:t xml:space="preserve">. </w:t>
      </w:r>
      <w:r w:rsidR="0046550D">
        <w:t xml:space="preserve">Here we question if the relationship between walking and the built environment changes over the spectrum of urban spaces and if one walkability measure (or one model of walking behavior estimated from a pooled sample from the region) is adequate. Or contrarily, do we need to segment models (or walkability measures) by </w:t>
      </w:r>
      <w:r w:rsidR="00E677D5">
        <w:t xml:space="preserve">the </w:t>
      </w:r>
      <w:r w:rsidR="0046550D" w:rsidRPr="00B775A9">
        <w:rPr>
          <w:noProof/>
        </w:rPr>
        <w:t>urban</w:t>
      </w:r>
      <w:r w:rsidR="0046550D">
        <w:t xml:space="preserve"> regime in order to better reflect this varying relationship</w:t>
      </w:r>
      <w:r w:rsidR="000175AF">
        <w:t xml:space="preserve"> over the region</w:t>
      </w:r>
      <w:r w:rsidR="0046550D">
        <w:t xml:space="preserve">. </w:t>
      </w:r>
    </w:p>
    <w:p w14:paraId="67F64F1B" w14:textId="1C6392C0" w:rsidR="008B2B16" w:rsidRPr="00BF275E" w:rsidRDefault="000175AF" w:rsidP="004D7FE2">
      <w:pPr>
        <w:pStyle w:val="BodyText"/>
      </w:pPr>
      <w:r>
        <w:t>To do this, w</w:t>
      </w:r>
      <w:r w:rsidR="008048B3">
        <w:t xml:space="preserve">e used </w:t>
      </w:r>
      <w:r w:rsidR="00923F45" w:rsidRPr="00BF275E">
        <w:t xml:space="preserve">the </w:t>
      </w:r>
      <w:r w:rsidR="008048B3">
        <w:t xml:space="preserve">weighted </w:t>
      </w:r>
      <w:r w:rsidR="00923F45" w:rsidRPr="00BF275E">
        <w:t xml:space="preserve">expansion of Oregon Household Travel </w:t>
      </w:r>
      <w:r w:rsidR="008048B3" w:rsidRPr="00BF275E">
        <w:t>Survey</w:t>
      </w:r>
      <w:r w:rsidR="008048B3">
        <w:t xml:space="preserve">, which inflates the sample of trips to represent the total population of trips, to </w:t>
      </w:r>
      <w:r w:rsidR="00164D73">
        <w:t>compute</w:t>
      </w:r>
      <w:r w:rsidR="00923F45" w:rsidRPr="00BF275E">
        <w:t xml:space="preserve"> the total amount of trips and walk trips </w:t>
      </w:r>
      <w:r w:rsidR="00164D73">
        <w:t xml:space="preserve">in each </w:t>
      </w:r>
      <w:r w:rsidR="00923F45" w:rsidRPr="00BF275E">
        <w:t>block group</w:t>
      </w:r>
      <w:r w:rsidR="005E79B0">
        <w:t xml:space="preserve"> (walk mode share)</w:t>
      </w:r>
      <w:r w:rsidR="00923F45" w:rsidRPr="00BF275E">
        <w:t xml:space="preserve">. </w:t>
      </w:r>
      <w:r w:rsidR="005E79B0">
        <w:fldChar w:fldCharType="begin"/>
      </w:r>
      <w:r w:rsidR="005E79B0">
        <w:instrText xml:space="preserve"> REF _Ref511839778 \h </w:instrText>
      </w:r>
      <w:r w:rsidR="005E79B0">
        <w:fldChar w:fldCharType="separate"/>
      </w:r>
      <w:r w:rsidR="005E79B0" w:rsidRPr="00BF275E">
        <w:t xml:space="preserve">Figure </w:t>
      </w:r>
      <w:r w:rsidR="005E79B0" w:rsidRPr="00BF275E">
        <w:rPr>
          <w:noProof/>
        </w:rPr>
        <w:t>7</w:t>
      </w:r>
      <w:r w:rsidR="005E79B0">
        <w:fldChar w:fldCharType="end"/>
      </w:r>
      <w:r w:rsidR="005E79B0">
        <w:t xml:space="preserve"> </w:t>
      </w:r>
      <w:r w:rsidR="008B2B16" w:rsidRPr="00BF275E">
        <w:t>shows</w:t>
      </w:r>
      <w:r w:rsidR="005B62E7" w:rsidRPr="00BF275E">
        <w:t xml:space="preserve"> the </w:t>
      </w:r>
      <w:r w:rsidR="005E79B0">
        <w:t xml:space="preserve">resulting </w:t>
      </w:r>
      <w:r w:rsidR="005B62E7" w:rsidRPr="00BF275E">
        <w:t xml:space="preserve">plot </w:t>
      </w:r>
      <w:r w:rsidR="005E79B0">
        <w:t>of</w:t>
      </w:r>
      <w:r w:rsidR="005B62E7" w:rsidRPr="00BF275E">
        <w:t xml:space="preserve"> the </w:t>
      </w:r>
      <w:r w:rsidR="005E79B0">
        <w:t xml:space="preserve">walk </w:t>
      </w:r>
      <w:r w:rsidR="005B62E7" w:rsidRPr="00BF275E">
        <w:t xml:space="preserve">modal share </w:t>
      </w:r>
      <w:r w:rsidR="005E79B0">
        <w:t xml:space="preserve">by deciles of </w:t>
      </w:r>
      <w:r w:rsidR="008B2B16" w:rsidRPr="00BF275E">
        <w:t>PIE</w:t>
      </w:r>
      <w:r w:rsidR="008B2B16" w:rsidRPr="00BF275E">
        <w:rPr>
          <w:vertAlign w:val="subscript"/>
        </w:rPr>
        <w:t>bg</w:t>
      </w:r>
      <w:r w:rsidR="008B2B16" w:rsidRPr="00BF275E">
        <w:t>.</w:t>
      </w:r>
      <w:r w:rsidR="005B62E7" w:rsidRPr="00BF275E">
        <w:t xml:space="preserve"> The graph shows two trends (or three if we include the first rise</w:t>
      </w:r>
      <w:r w:rsidR="00E20466">
        <w:t xml:space="preserve"> from decile 1 to 2). For </w:t>
      </w:r>
      <w:r w:rsidR="00E677D5">
        <w:t xml:space="preserve">the </w:t>
      </w:r>
      <w:r w:rsidR="00E20466" w:rsidRPr="00C226F2">
        <w:rPr>
          <w:noProof/>
        </w:rPr>
        <w:t>bottom</w:t>
      </w:r>
      <w:r w:rsidR="00C226F2">
        <w:rPr>
          <w:noProof/>
        </w:rPr>
        <w:t>,</w:t>
      </w:r>
      <w:r w:rsidR="00E20466">
        <w:t xml:space="preserve"> 60% of </w:t>
      </w:r>
      <w:r w:rsidR="005B62E7" w:rsidRPr="00BF275E">
        <w:t>PIE</w:t>
      </w:r>
      <w:r w:rsidR="005B62E7" w:rsidRPr="00BF275E">
        <w:rPr>
          <w:vertAlign w:val="subscript"/>
        </w:rPr>
        <w:t>bg</w:t>
      </w:r>
      <w:r w:rsidR="005B62E7" w:rsidRPr="00BF275E">
        <w:t xml:space="preserve"> areas have a </w:t>
      </w:r>
      <w:r w:rsidR="00E20466">
        <w:t>walking share that varies between</w:t>
      </w:r>
      <w:r w:rsidR="008B2B16" w:rsidRPr="00BF275E">
        <w:t xml:space="preserve"> 6-8%. The second tendency in the graph </w:t>
      </w:r>
      <w:r w:rsidR="008B2B16" w:rsidRPr="00E677D5">
        <w:rPr>
          <w:noProof/>
        </w:rPr>
        <w:t>indicate</w:t>
      </w:r>
      <w:r w:rsidR="00E677D5">
        <w:rPr>
          <w:noProof/>
        </w:rPr>
        <w:t>s</w:t>
      </w:r>
      <w:r w:rsidR="008B2B16" w:rsidRPr="00BF275E">
        <w:t xml:space="preserve"> an increase of walking share with the PIE</w:t>
      </w:r>
      <w:r w:rsidR="008B2B16" w:rsidRPr="00BF275E">
        <w:rPr>
          <w:vertAlign w:val="subscript"/>
        </w:rPr>
        <w:t>bg</w:t>
      </w:r>
      <w:r w:rsidR="008B2B16" w:rsidRPr="00BF275E">
        <w:t xml:space="preserve"> scores at the seventh decile or greater. These two</w:t>
      </w:r>
      <w:r w:rsidR="005B62E7" w:rsidRPr="00BF275E">
        <w:t xml:space="preserve"> main</w:t>
      </w:r>
      <w:r w:rsidR="008B2B16" w:rsidRPr="00BF275E">
        <w:t xml:space="preserve"> differen</w:t>
      </w:r>
      <w:r w:rsidR="005B62E7" w:rsidRPr="00BF275E">
        <w:t>ce</w:t>
      </w:r>
      <w:r w:rsidR="00744CA2">
        <w:t>s</w:t>
      </w:r>
      <w:r w:rsidR="005B62E7" w:rsidRPr="00BF275E">
        <w:t xml:space="preserve"> in the</w:t>
      </w:r>
      <w:r w:rsidR="008B2B16" w:rsidRPr="00BF275E">
        <w:t xml:space="preserve"> slopes suggest that they might be two different behavioral responses to the built environment. </w:t>
      </w:r>
    </w:p>
    <w:p w14:paraId="4282B67D" w14:textId="33C6523A" w:rsidR="007C33DC" w:rsidRDefault="00983295" w:rsidP="00027283">
      <w:pPr>
        <w:pStyle w:val="BodyText"/>
        <w:jc w:val="center"/>
        <w:rPr>
          <w:noProof/>
        </w:rPr>
      </w:pPr>
      <w:r>
        <w:rPr>
          <w:noProof/>
        </w:rPr>
        <w:pict w14:anchorId="28A040DF">
          <v:shape id="_x0000_i1028" type="#_x0000_t75" style="width:427.9pt;height:321.4pt">
            <v:imagedata r:id="rId20" o:title="PIEbg"/>
          </v:shape>
        </w:pict>
      </w:r>
    </w:p>
    <w:p w14:paraId="1DEC54E3" w14:textId="41E277C8" w:rsidR="005018ED" w:rsidRPr="00BF275E" w:rsidRDefault="00027283" w:rsidP="00FA1EDF">
      <w:pPr>
        <w:pStyle w:val="Caption"/>
      </w:pPr>
      <w:bookmarkStart w:id="43" w:name="_Ref511839778"/>
      <w:bookmarkStart w:id="44" w:name="_Toc2003585"/>
      <w:r w:rsidRPr="00BF275E">
        <w:t xml:space="preserve">Figure </w:t>
      </w:r>
      <w:fldSimple w:instr=" SEQ Figure \* ARABIC ">
        <w:r w:rsidR="00721680">
          <w:rPr>
            <w:noProof/>
          </w:rPr>
          <w:t>8</w:t>
        </w:r>
      </w:fldSimple>
      <w:bookmarkEnd w:id="43"/>
      <w:r w:rsidRPr="00BF275E">
        <w:t xml:space="preserve"> PIE</w:t>
      </w:r>
      <w:r w:rsidRPr="00BF275E">
        <w:rPr>
          <w:vertAlign w:val="subscript"/>
        </w:rPr>
        <w:t>bg</w:t>
      </w:r>
      <w:r w:rsidRPr="00BF275E">
        <w:t xml:space="preserve"> aggregated by deciles vs walking share</w:t>
      </w:r>
      <w:bookmarkEnd w:id="44"/>
    </w:p>
    <w:p w14:paraId="0EFE6345" w14:textId="041D6440" w:rsidR="005018ED" w:rsidRPr="00BF275E" w:rsidRDefault="00E03B23" w:rsidP="0042626D">
      <w:pPr>
        <w:pStyle w:val="BodyText"/>
      </w:pPr>
      <w:r w:rsidRPr="00BF275E">
        <w:t xml:space="preserve">These two regimes could be identified as the separation between a suburban environment with low </w:t>
      </w:r>
      <w:r w:rsidR="00142DCC">
        <w:t>people density</w:t>
      </w:r>
      <w:r w:rsidRPr="00BF275E">
        <w:t xml:space="preserve"> and an urban environment with a higher </w:t>
      </w:r>
      <w:r w:rsidR="00142DCC">
        <w:t>people</w:t>
      </w:r>
      <w:r w:rsidR="00142DCC" w:rsidRPr="00BF275E">
        <w:t xml:space="preserve"> </w:t>
      </w:r>
      <w:r w:rsidRPr="00BF275E">
        <w:t xml:space="preserve">density. This suggests that the </w:t>
      </w:r>
      <w:r w:rsidRPr="00BF275E">
        <w:lastRenderedPageBreak/>
        <w:t xml:space="preserve">relationships between walking and the built environment should not be represented </w:t>
      </w:r>
      <w:r w:rsidR="00E677D5">
        <w:rPr>
          <w:noProof/>
        </w:rPr>
        <w:t>by</w:t>
      </w:r>
      <w:r w:rsidRPr="00BF275E">
        <w:t xml:space="preserve"> just one formal functional and that this function may not be linear. More detailed information about the walking behavior and more data points across the spectrum of PIE</w:t>
      </w:r>
      <w:r w:rsidRPr="00BF275E">
        <w:rPr>
          <w:vertAlign w:val="subscript"/>
        </w:rPr>
        <w:t xml:space="preserve">bg </w:t>
      </w:r>
      <w:r w:rsidRPr="00BF275E">
        <w:t>are needed before we can discern and quantify relationship.</w:t>
      </w:r>
      <w:r w:rsidR="0042626D" w:rsidRPr="00BF275E">
        <w:t xml:space="preserve"> </w:t>
      </w:r>
      <w:r w:rsidR="005018ED" w:rsidRPr="00BF275E">
        <w:t xml:space="preserve">In </w:t>
      </w:r>
      <w:r w:rsidR="007B7AA9">
        <w:t xml:space="preserve">the next section, </w:t>
      </w:r>
      <w:r w:rsidR="005018ED" w:rsidRPr="00BF275E">
        <w:t xml:space="preserve">we are going to test </w:t>
      </w:r>
      <w:r w:rsidR="0042626D" w:rsidRPr="00BF275E">
        <w:t>the different regime hypothesis by</w:t>
      </w:r>
      <w:r w:rsidR="005018ED" w:rsidRPr="00BF275E">
        <w:t xml:space="preserve"> </w:t>
      </w:r>
      <w:r w:rsidR="0042626D" w:rsidRPr="00BF275E">
        <w:t>contrasting</w:t>
      </w:r>
      <w:r w:rsidR="005018ED" w:rsidRPr="00BF275E">
        <w:t xml:space="preserve"> </w:t>
      </w:r>
      <w:r w:rsidR="0042626D" w:rsidRPr="00BF275E">
        <w:t xml:space="preserve">two separated models versus a single one. </w:t>
      </w:r>
    </w:p>
    <w:p w14:paraId="7CCE9291" w14:textId="503552F8" w:rsidR="006A55B8" w:rsidRDefault="00320FDE" w:rsidP="00320FDE">
      <w:r>
        <w:t>The</w:t>
      </w:r>
      <w:r w:rsidR="006827EE">
        <w:t>se</w:t>
      </w:r>
      <w:r>
        <w:t xml:space="preserve"> </w:t>
      </w:r>
      <w:r w:rsidR="003A03EB">
        <w:t>results</w:t>
      </w:r>
      <w:r>
        <w:t xml:space="preserve"> </w:t>
      </w:r>
      <w:r w:rsidR="003A03EB">
        <w:t>suggest</w:t>
      </w:r>
      <w:r>
        <w:t xml:space="preserve"> that it may not be appropriate to model the relationship between walk mode share and the built environment as a simple linear relationship or e</w:t>
      </w:r>
      <w:r w:rsidR="006A55B8">
        <w:t>stimating</w:t>
      </w:r>
      <w:r w:rsidR="003A03EB">
        <w:t xml:space="preserve"> a </w:t>
      </w:r>
      <w:r>
        <w:t>single model</w:t>
      </w:r>
      <w:r w:rsidR="003A03EB">
        <w:t xml:space="preserve"> parameter </w:t>
      </w:r>
      <w:r w:rsidR="006A55B8">
        <w:t xml:space="preserve">for this relationship </w:t>
      </w:r>
      <w:r w:rsidR="003A03EB">
        <w:t>across all locations</w:t>
      </w:r>
      <w:r>
        <w:t xml:space="preserve">. Our findings suggest that there </w:t>
      </w:r>
      <w:r w:rsidR="003A03EB">
        <w:t xml:space="preserve">may be </w:t>
      </w:r>
      <w:r>
        <w:t>a threshold</w:t>
      </w:r>
      <w:r w:rsidR="003A03EB">
        <w:t xml:space="preserve"> that separates two different regimes of walking behavior relative to the built environment. </w:t>
      </w:r>
      <w:r>
        <w:t>To</w:t>
      </w:r>
      <w:r w:rsidR="003A03EB">
        <w:t xml:space="preserve"> examine this more closely</w:t>
      </w:r>
      <w:r w:rsidR="00022EFE">
        <w:t xml:space="preserve">, we test the results </w:t>
      </w:r>
      <w:r w:rsidR="00022EFE" w:rsidRPr="00E677D5">
        <w:rPr>
          <w:noProof/>
        </w:rPr>
        <w:t>of</w:t>
      </w:r>
      <w:r w:rsidR="005A4C17">
        <w:t xml:space="preserve"> a)</w:t>
      </w:r>
      <w:r w:rsidR="00022EFE">
        <w:t xml:space="preserve"> a singular model </w:t>
      </w:r>
      <w:r w:rsidR="005A4C17">
        <w:t>with one parameter estimate</w:t>
      </w:r>
      <w:r w:rsidR="00022EFE">
        <w:t xml:space="preserve"> </w:t>
      </w:r>
      <w:r w:rsidR="005A4C17">
        <w:t xml:space="preserve">for the built environment across all </w:t>
      </w:r>
      <w:r w:rsidR="00022EFE">
        <w:t>urban environments</w:t>
      </w:r>
      <w:r w:rsidR="005A4C17">
        <w:t>,</w:t>
      </w:r>
      <w:r w:rsidR="00022EFE">
        <w:t xml:space="preserve"> with </w:t>
      </w:r>
      <w:r w:rsidR="005A4C17">
        <w:t xml:space="preserve">b) </w:t>
      </w:r>
      <w:r w:rsidR="00022EFE">
        <w:t>a model estimated at two intervals</w:t>
      </w:r>
      <w:r w:rsidR="005A4C17">
        <w:t xml:space="preserve">, with one parameter for areas that are </w:t>
      </w:r>
      <w:r w:rsidR="00BE1989">
        <w:t xml:space="preserve">more </w:t>
      </w:r>
      <w:r w:rsidR="00E677D5">
        <w:rPr>
          <w:noProof/>
        </w:rPr>
        <w:t>urban</w:t>
      </w:r>
      <w:r w:rsidR="005A4C17">
        <w:t xml:space="preserve">, another representing suburban environments. The model is </w:t>
      </w:r>
      <w:r w:rsidR="00231A83">
        <w:t>a univariate</w:t>
      </w:r>
      <w:r w:rsidR="00022EFE">
        <w:t xml:space="preserve"> binary logit </w:t>
      </w:r>
      <w:r>
        <w:t xml:space="preserve">model </w:t>
      </w:r>
      <w:r w:rsidR="00231A83">
        <w:t xml:space="preserve">(the same of section </w:t>
      </w:r>
      <w:r w:rsidR="00231A83">
        <w:fldChar w:fldCharType="begin"/>
      </w:r>
      <w:r w:rsidR="00231A83">
        <w:instrText xml:space="preserve"> REF _Ref511842358 \r \h </w:instrText>
      </w:r>
      <w:r w:rsidR="00231A83">
        <w:fldChar w:fldCharType="separate"/>
      </w:r>
      <w:r w:rsidR="0051052B">
        <w:t>3.1</w:t>
      </w:r>
      <w:r w:rsidR="00231A83">
        <w:fldChar w:fldCharType="end"/>
      </w:r>
      <w:r w:rsidR="00231A83">
        <w:t xml:space="preserve">) </w:t>
      </w:r>
      <w:r>
        <w:t>that predict</w:t>
      </w:r>
      <w:r w:rsidR="00022EFE">
        <w:t>s</w:t>
      </w:r>
      <w:r>
        <w:t xml:space="preserve"> the probability of walking as a function of </w:t>
      </w:r>
      <w:r w:rsidR="00E677D5">
        <w:t xml:space="preserve">a </w:t>
      </w:r>
      <w:r w:rsidR="00231A83" w:rsidRPr="00BE1989">
        <w:rPr>
          <w:noProof/>
        </w:rPr>
        <w:t>single</w:t>
      </w:r>
      <w:r w:rsidR="00231A83">
        <w:t xml:space="preserve"> independent variable, an index of the</w:t>
      </w:r>
      <w:r w:rsidR="00022EFE">
        <w:t xml:space="preserve"> built environment, which is represented as PIE</w:t>
      </w:r>
      <w:r w:rsidR="00022EFE" w:rsidRPr="00022EFE">
        <w:rPr>
          <w:vertAlign w:val="subscript"/>
        </w:rPr>
        <w:t>bg</w:t>
      </w:r>
      <w:r w:rsidR="005A4C17">
        <w:t>.</w:t>
      </w:r>
      <w:r w:rsidR="00146057">
        <w:t xml:space="preserve"> </w:t>
      </w:r>
    </w:p>
    <w:p w14:paraId="08BF6764" w14:textId="77777777" w:rsidR="006A55B8" w:rsidRDefault="006A55B8" w:rsidP="00320FDE"/>
    <w:p w14:paraId="3C0AEF03" w14:textId="644CEA49" w:rsidR="00B92393" w:rsidRDefault="0092256C" w:rsidP="00320FDE">
      <w:r>
        <w:t xml:space="preserve">The model estimation results are shown in </w:t>
      </w:r>
      <w:r w:rsidR="006A55B8">
        <w:fldChar w:fldCharType="begin"/>
      </w:r>
      <w:r w:rsidR="006A55B8">
        <w:instrText xml:space="preserve"> REF _Ref516029136 \h </w:instrText>
      </w:r>
      <w:r w:rsidR="006A55B8">
        <w:fldChar w:fldCharType="separate"/>
      </w:r>
      <w:r w:rsidR="00724BFA">
        <w:t xml:space="preserve">Table </w:t>
      </w:r>
      <w:r w:rsidR="00724BFA">
        <w:rPr>
          <w:noProof/>
        </w:rPr>
        <w:t>4</w:t>
      </w:r>
      <w:r w:rsidR="006A55B8">
        <w:fldChar w:fldCharType="end"/>
      </w:r>
      <w:r>
        <w:fldChar w:fldCharType="begin"/>
      </w:r>
      <w:r>
        <w:instrText xml:space="preserve"> REF _Ref511212849 \h </w:instrText>
      </w:r>
      <w:r>
        <w:fldChar w:fldCharType="end"/>
      </w:r>
      <w:r>
        <w:t xml:space="preserve">. </w:t>
      </w:r>
      <w:r w:rsidR="00D16DDD">
        <w:t>Model 1 and 2 are separate models for urban and suburban area</w:t>
      </w:r>
      <w:r w:rsidR="00D92586">
        <w:t>s</w:t>
      </w:r>
      <w:r w:rsidR="00D16DDD">
        <w:t>, respectively, where urban areas are defined as those areas with a PIE</w:t>
      </w:r>
      <w:r w:rsidR="00D16DDD" w:rsidRPr="00146057">
        <w:rPr>
          <w:vertAlign w:val="subscript"/>
        </w:rPr>
        <w:t>bg</w:t>
      </w:r>
      <w:r w:rsidR="00D16DDD">
        <w:t xml:space="preserve"> score of 40 or </w:t>
      </w:r>
      <w:r w:rsidR="006A55B8">
        <w:t xml:space="preserve">greater </w:t>
      </w:r>
      <w:r w:rsidR="00D16DDD">
        <w:t>and suburban areas are those with a score below 40.</w:t>
      </w:r>
      <w:r w:rsidR="00C818DF">
        <w:t xml:space="preserve"> Model 3 is a pooled model across all values of PIE</w:t>
      </w:r>
      <w:r w:rsidR="00C818DF" w:rsidRPr="00146057">
        <w:rPr>
          <w:vertAlign w:val="subscript"/>
        </w:rPr>
        <w:t>bg</w:t>
      </w:r>
      <w:r w:rsidR="006A55B8">
        <w:t xml:space="preserve">. </w:t>
      </w:r>
      <w:r w:rsidR="006A55B8" w:rsidRPr="006A55B8">
        <w:t>We used a PIE</w:t>
      </w:r>
      <w:r w:rsidR="006A55B8" w:rsidRPr="006A55B8">
        <w:rPr>
          <w:vertAlign w:val="subscript"/>
        </w:rPr>
        <w:t>bg</w:t>
      </w:r>
      <w:r w:rsidR="006A55B8" w:rsidRPr="006A55B8">
        <w:t xml:space="preserve"> score of 40 because this was the </w:t>
      </w:r>
      <w:r w:rsidR="006A0814">
        <w:t xml:space="preserve">approximate </w:t>
      </w:r>
      <w:r w:rsidR="006A55B8" w:rsidRPr="00E677D5">
        <w:rPr>
          <w:noProof/>
        </w:rPr>
        <w:t>breakpoint</w:t>
      </w:r>
      <w:r w:rsidR="006A55B8" w:rsidRPr="006A55B8">
        <w:t xml:space="preserve"> in the relation between PIE</w:t>
      </w:r>
      <w:r w:rsidR="006A55B8" w:rsidRPr="006A55B8">
        <w:rPr>
          <w:vertAlign w:val="subscript"/>
        </w:rPr>
        <w:t>0</w:t>
      </w:r>
      <w:r w:rsidR="006A55B8" w:rsidRPr="006A55B8">
        <w:t xml:space="preserve"> and PIE</w:t>
      </w:r>
      <w:r w:rsidR="006A55B8" w:rsidRPr="006A55B8">
        <w:rPr>
          <w:vertAlign w:val="subscript"/>
        </w:rPr>
        <w:t>bg</w:t>
      </w:r>
      <w:r w:rsidR="006A55B8" w:rsidRPr="006A55B8">
        <w:t xml:space="preserve"> in</w:t>
      </w:r>
      <w:r w:rsidR="006A55B8">
        <w:t xml:space="preserve"> </w:t>
      </w:r>
      <w:r w:rsidR="006A0814">
        <w:fldChar w:fldCharType="begin"/>
      </w:r>
      <w:r w:rsidR="006A0814">
        <w:instrText xml:space="preserve"> REF _Ref513461870 \h </w:instrText>
      </w:r>
      <w:r w:rsidR="006A0814">
        <w:fldChar w:fldCharType="separate"/>
      </w:r>
      <w:r w:rsidR="006A0814">
        <w:t xml:space="preserve">Figure </w:t>
      </w:r>
      <w:r w:rsidR="006A0814">
        <w:rPr>
          <w:noProof/>
        </w:rPr>
        <w:t>6</w:t>
      </w:r>
      <w:r w:rsidR="006A0814">
        <w:fldChar w:fldCharType="end"/>
      </w:r>
      <w:r w:rsidR="006A0814">
        <w:t xml:space="preserve"> and the natural break in the distribution of PIE show</w:t>
      </w:r>
      <w:r w:rsidR="00B92393">
        <w:t>n</w:t>
      </w:r>
      <w:r w:rsidR="006A0814">
        <w:t xml:space="preserve"> in </w:t>
      </w:r>
      <w:r w:rsidR="006A0814">
        <w:fldChar w:fldCharType="begin"/>
      </w:r>
      <w:r w:rsidR="006A0814">
        <w:instrText xml:space="preserve"> REF _Ref513458620 \h </w:instrText>
      </w:r>
      <w:r w:rsidR="006A0814">
        <w:fldChar w:fldCharType="separate"/>
      </w:r>
      <w:r w:rsidR="006A0814">
        <w:t xml:space="preserve">Figure </w:t>
      </w:r>
      <w:r w:rsidR="006A0814">
        <w:rPr>
          <w:noProof/>
        </w:rPr>
        <w:t>1</w:t>
      </w:r>
      <w:r w:rsidR="006A0814">
        <w:fldChar w:fldCharType="end"/>
      </w:r>
      <w:r w:rsidR="006A55B8" w:rsidRPr="006A55B8">
        <w:t xml:space="preserve">. However, </w:t>
      </w:r>
      <w:r w:rsidR="00B92393">
        <w:t xml:space="preserve">one potential topic for future research is determining the exact breakpoint(s) of PIE in the defining these </w:t>
      </w:r>
      <w:r w:rsidR="007E36BA">
        <w:t xml:space="preserve">different </w:t>
      </w:r>
      <w:r w:rsidR="00B92393">
        <w:t xml:space="preserve">regimes. </w:t>
      </w:r>
      <w:r w:rsidR="007E36BA">
        <w:t xml:space="preserve">For the purposes of this research, we will use 40 as the breakpoint and test the relationship between two regimes only due to sample size limitations and the maximum values of PIE in Portland, we could not test more with statistical accuracy. </w:t>
      </w:r>
    </w:p>
    <w:p w14:paraId="6EDD3012" w14:textId="77777777" w:rsidR="00B92393" w:rsidRDefault="00B92393" w:rsidP="00320FDE"/>
    <w:p w14:paraId="64E0D2F5" w14:textId="554E4E5F" w:rsidR="00A059F1" w:rsidRDefault="00BE4160" w:rsidP="00320FDE">
      <w:r>
        <w:t xml:space="preserve">The three models had very low explanatory power, which is expected from behavioral models in general and from a univariate model such as this. However, we are only estimating these models for comparison. </w:t>
      </w:r>
      <w:r w:rsidR="006A55B8" w:rsidRPr="006A55B8">
        <w:t xml:space="preserve">From simple inspection </w:t>
      </w:r>
      <w:r>
        <w:t xml:space="preserve">of the results, </w:t>
      </w:r>
      <w:r w:rsidR="006A55B8" w:rsidRPr="006A55B8">
        <w:t>it is noticeable that the coefficients are different</w:t>
      </w:r>
      <w:r>
        <w:t xml:space="preserve"> between the three models</w:t>
      </w:r>
      <w:r w:rsidR="006A55B8" w:rsidRPr="006A55B8">
        <w:t>. We tested the validity of separating the models using the likelihood ratios test. The test reject</w:t>
      </w:r>
      <w:r>
        <w:t>s</w:t>
      </w:r>
      <w:r w:rsidR="006A55B8" w:rsidRPr="006A55B8">
        <w:t xml:space="preserve"> the pooled model as </w:t>
      </w:r>
      <w:r>
        <w:t>valid</w:t>
      </w:r>
      <w:r w:rsidR="006A55B8" w:rsidRPr="006A55B8">
        <w:t xml:space="preserve"> (p&lt;0.000), meaning that the </w:t>
      </w:r>
      <w:r>
        <w:t>correct</w:t>
      </w:r>
      <w:r w:rsidR="006A55B8" w:rsidRPr="006A55B8">
        <w:t xml:space="preserve"> specification should be two separated models. Therefore, this evidence </w:t>
      </w:r>
      <w:r w:rsidRPr="006A55B8">
        <w:t>supports</w:t>
      </w:r>
      <w:r w:rsidR="006A55B8" w:rsidRPr="006A55B8">
        <w:t xml:space="preserve"> our hypothesis that the built environment does not have the same effect on the </w:t>
      </w:r>
      <w:r>
        <w:t xml:space="preserve">choice to </w:t>
      </w:r>
      <w:r w:rsidR="006A55B8" w:rsidRPr="006A55B8">
        <w:t>walk</w:t>
      </w:r>
      <w:r>
        <w:t xml:space="preserve"> </w:t>
      </w:r>
      <w:r w:rsidR="006A55B8" w:rsidRPr="00BE1989">
        <w:rPr>
          <w:noProof/>
        </w:rPr>
        <w:t>in</w:t>
      </w:r>
      <w:r w:rsidR="006A55B8" w:rsidRPr="006A55B8">
        <w:t xml:space="preserve"> a city.</w:t>
      </w:r>
      <w:r>
        <w:t xml:space="preserve"> However, this difference may be due to a spatial sorting of people according to the differences in the attitudes and inherent preferences of the people in those respective areas. However, we are lacking information about those aspects and cannot test them in this study. </w:t>
      </w:r>
    </w:p>
    <w:p w14:paraId="3B49BE51" w14:textId="77777777" w:rsidR="00BE4160" w:rsidRDefault="00BE4160" w:rsidP="00320FDE"/>
    <w:p w14:paraId="377690F4" w14:textId="0291DF3C" w:rsidR="00A059F1" w:rsidRDefault="00E30B66" w:rsidP="00320FDE">
      <w:r>
        <w:t xml:space="preserve">A </w:t>
      </w:r>
      <w:r w:rsidR="00BE4160">
        <w:t>visualization of these model</w:t>
      </w:r>
      <w:r w:rsidR="00BE4160" w:rsidRPr="00BE4160">
        <w:t xml:space="preserve"> </w:t>
      </w:r>
      <w:r>
        <w:t>results is s</w:t>
      </w:r>
      <w:r w:rsidR="00BE4160" w:rsidRPr="00BE4160">
        <w:t>how</w:t>
      </w:r>
      <w:r>
        <w:t xml:space="preserve">n </w:t>
      </w:r>
      <w:r w:rsidR="00BE4160" w:rsidRPr="00BE4160">
        <w:t xml:space="preserve">in </w:t>
      </w:r>
      <w:r w:rsidR="00BE4160" w:rsidRPr="00BE4160">
        <w:fldChar w:fldCharType="begin"/>
      </w:r>
      <w:r w:rsidR="00BE4160" w:rsidRPr="00BE4160">
        <w:instrText xml:space="preserve"> REF _Ref511212929 \h </w:instrText>
      </w:r>
      <w:r w:rsidR="00BE4160" w:rsidRPr="00BE4160">
        <w:fldChar w:fldCharType="separate"/>
      </w:r>
      <w:r w:rsidR="00744CA2">
        <w:t xml:space="preserve">Figure </w:t>
      </w:r>
      <w:r w:rsidR="00744CA2">
        <w:rPr>
          <w:noProof/>
        </w:rPr>
        <w:t>9</w:t>
      </w:r>
      <w:r w:rsidR="00BE4160" w:rsidRPr="00BE4160">
        <w:fldChar w:fldCharType="end"/>
      </w:r>
      <w:r w:rsidR="00BE4160" w:rsidRPr="00BE4160">
        <w:t>. This figure shows the predicted walking mod</w:t>
      </w:r>
      <w:r w:rsidR="007637A3">
        <w:t>e</w:t>
      </w:r>
      <w:r w:rsidR="00BE4160" w:rsidRPr="00BE4160">
        <w:t xml:space="preserve"> share </w:t>
      </w:r>
      <w:r w:rsidR="007637A3">
        <w:t xml:space="preserve">plotted against </w:t>
      </w:r>
      <w:r w:rsidR="00BE4160" w:rsidRPr="00BE4160">
        <w:t>the PIE</w:t>
      </w:r>
      <w:r w:rsidR="00BE4160" w:rsidRPr="00BE4160">
        <w:rPr>
          <w:vertAlign w:val="subscript"/>
        </w:rPr>
        <w:t>bg</w:t>
      </w:r>
      <w:r w:rsidR="00BE4160" w:rsidRPr="00BE4160">
        <w:t xml:space="preserve"> score. The </w:t>
      </w:r>
      <w:r w:rsidR="007637A3">
        <w:t xml:space="preserve">graph </w:t>
      </w:r>
      <w:r w:rsidR="00BE4160" w:rsidRPr="00BE4160">
        <w:t>shows a different prediction for the probability of walking for the different set of models. From the two separated models (urban and suburban), we can see that the effect of the built environment is large</w:t>
      </w:r>
      <w:r w:rsidR="007637A3">
        <w:t>r</w:t>
      </w:r>
      <w:r w:rsidR="00BE4160" w:rsidRPr="00BE4160">
        <w:t xml:space="preserve"> in the suburban context and less steep in the urban environment, but still considerable. Is important to notice that almost all Portland has a low PIE score, as only 0.6% of the block groups ha</w:t>
      </w:r>
      <w:r w:rsidR="00731ACC">
        <w:t>ve</w:t>
      </w:r>
      <w:r w:rsidR="00BE4160" w:rsidRPr="00BE4160">
        <w:t xml:space="preserve"> over 60 in </w:t>
      </w:r>
      <w:r w:rsidR="00E677D5">
        <w:t xml:space="preserve">the </w:t>
      </w:r>
      <w:r w:rsidR="00BE4160" w:rsidRPr="00E677D5">
        <w:rPr>
          <w:noProof/>
        </w:rPr>
        <w:t>score</w:t>
      </w:r>
      <w:r w:rsidR="00CE73F6">
        <w:rPr>
          <w:noProof/>
        </w:rPr>
        <w:t xml:space="preserve">, </w:t>
      </w:r>
      <w:r w:rsidR="00C226F2">
        <w:rPr>
          <w:noProof/>
        </w:rPr>
        <w:t>and</w:t>
      </w:r>
      <w:r w:rsidR="00CE73F6">
        <w:rPr>
          <w:noProof/>
        </w:rPr>
        <w:t xml:space="preserve"> 0.04% of the total land area</w:t>
      </w:r>
      <w:r w:rsidR="00BE4160" w:rsidRPr="00BE4160">
        <w:t xml:space="preserve"> (the very central city)</w:t>
      </w:r>
      <w:r w:rsidR="00CE73F6">
        <w:t>. Remember the area</w:t>
      </w:r>
      <w:r w:rsidR="00355958">
        <w:t xml:space="preserve"> in </w:t>
      </w:r>
      <w:r w:rsidR="00C226F2">
        <w:t xml:space="preserve">the </w:t>
      </w:r>
      <w:r w:rsidR="00355958" w:rsidRPr="00C226F2">
        <w:rPr>
          <w:noProof/>
        </w:rPr>
        <w:t>analysis</w:t>
      </w:r>
      <w:r w:rsidR="00CE73F6">
        <w:t xml:space="preserve"> is the Metropolitan Statistical Area that is based in counties and includes plenty of rural </w:t>
      </w:r>
      <w:r w:rsidR="00CE73F6" w:rsidRPr="00C226F2">
        <w:rPr>
          <w:noProof/>
        </w:rPr>
        <w:t>land</w:t>
      </w:r>
      <w:r w:rsidR="00C226F2">
        <w:rPr>
          <w:noProof/>
        </w:rPr>
        <w:t>s</w:t>
      </w:r>
      <w:r w:rsidR="00BE4160" w:rsidRPr="00BE4160">
        <w:t xml:space="preserve">. </w:t>
      </w:r>
      <w:r w:rsidR="00355958">
        <w:lastRenderedPageBreak/>
        <w:t>Therefore, t</w:t>
      </w:r>
      <w:r w:rsidR="00CE73F6">
        <w:t xml:space="preserve">he larger portion of Portland as shown in </w:t>
      </w:r>
      <w:r w:rsidR="00CE73F6">
        <w:fldChar w:fldCharType="begin"/>
      </w:r>
      <w:r w:rsidR="00CE73F6">
        <w:instrText xml:space="preserve"> REF _Ref521939572 \h </w:instrText>
      </w:r>
      <w:r w:rsidR="00CE73F6">
        <w:fldChar w:fldCharType="separate"/>
      </w:r>
      <w:r w:rsidR="00CE73F6" w:rsidRPr="00F75D0F">
        <w:t xml:space="preserve">Figure </w:t>
      </w:r>
      <w:r w:rsidR="00CE73F6">
        <w:rPr>
          <w:noProof/>
        </w:rPr>
        <w:t>4</w:t>
      </w:r>
      <w:r w:rsidR="00CE73F6">
        <w:fldChar w:fldCharType="end"/>
      </w:r>
      <w:r w:rsidR="00CE73F6">
        <w:t xml:space="preserve"> is around a PIEbg</w:t>
      </w:r>
      <w:r w:rsidR="00BE4160" w:rsidRPr="00BE4160">
        <w:t xml:space="preserve"> </w:t>
      </w:r>
      <w:r w:rsidR="00CE73F6">
        <w:t>score of 30 that is consistent with the 8% overall walking share in the region</w:t>
      </w:r>
      <w:r w:rsidR="007637A3">
        <w:t>.</w:t>
      </w:r>
      <w:r w:rsidR="00FC384F" w:rsidRPr="00FC384F">
        <w:t xml:space="preserve"> </w:t>
      </w:r>
      <w:r w:rsidR="00CE73F6">
        <w:t>The</w:t>
      </w:r>
      <w:r w:rsidR="00FC384F" w:rsidRPr="00FC384F">
        <w:t xml:space="preserve"> pooled model</w:t>
      </w:r>
      <w:r w:rsidR="00CE73F6">
        <w:t xml:space="preserve"> in the vicinity of the score 30 shows a </w:t>
      </w:r>
      <w:r w:rsidR="00092B55">
        <w:t>similar walking probability, however,</w:t>
      </w:r>
      <w:r w:rsidR="00CE73F6">
        <w:t xml:space="preserve"> </w:t>
      </w:r>
      <w:r w:rsidR="00092B55">
        <w:t xml:space="preserve">there is an overestimation of probability </w:t>
      </w:r>
      <w:r w:rsidR="00CE73F6">
        <w:t>trips</w:t>
      </w:r>
      <w:r w:rsidR="00FC384F" w:rsidRPr="00FC384F">
        <w:t xml:space="preserve"> in the rural/suburban area</w:t>
      </w:r>
      <w:r w:rsidR="00CE73F6">
        <w:t xml:space="preserve"> and </w:t>
      </w:r>
      <w:r w:rsidR="00092B55">
        <w:t xml:space="preserve">underestimation </w:t>
      </w:r>
      <w:r w:rsidR="00FC384F" w:rsidRPr="00FC384F">
        <w:t>in the transition between urban and suburban</w:t>
      </w:r>
      <w:r w:rsidR="00092B55">
        <w:t>, and in the more urban areas</w:t>
      </w:r>
      <w:r w:rsidR="00FC384F" w:rsidRPr="00FC384F">
        <w:t>.</w:t>
      </w:r>
    </w:p>
    <w:p w14:paraId="6D62A1A8" w14:textId="7A406E43" w:rsidR="00FC384F" w:rsidRDefault="00FC384F" w:rsidP="00320FDE"/>
    <w:p w14:paraId="14D2E978" w14:textId="27BAC764" w:rsidR="00FC384F" w:rsidRDefault="00FC384F" w:rsidP="00320FDE">
      <w:r w:rsidRPr="00FC384F">
        <w:t>Despite th</w:t>
      </w:r>
      <w:r>
        <w:t xml:space="preserve">e limitations, the </w:t>
      </w:r>
      <w:r w:rsidRPr="00FC384F">
        <w:t xml:space="preserve">exercise done here </w:t>
      </w:r>
      <w:r>
        <w:t>lends</w:t>
      </w:r>
      <w:r w:rsidRPr="00FC384F">
        <w:t xml:space="preserve"> empirical evidence t</w:t>
      </w:r>
      <w:r>
        <w:t xml:space="preserve">o support that concern </w:t>
      </w:r>
      <w:r w:rsidR="00660B5F">
        <w:t xml:space="preserve">that </w:t>
      </w:r>
      <w:r w:rsidR="006827EE">
        <w:t xml:space="preserve">the </w:t>
      </w:r>
      <w:r w:rsidR="00660B5F">
        <w:t xml:space="preserve">relationship between walking and the </w:t>
      </w:r>
      <w:r w:rsidR="006827EE">
        <w:t xml:space="preserve">built environment </w:t>
      </w:r>
      <w:r>
        <w:t xml:space="preserve">may be </w:t>
      </w:r>
      <w:r w:rsidR="00660B5F">
        <w:t xml:space="preserve">different (non-linear or linear in different regimes with different coefficients) across different environments within the same region. </w:t>
      </w:r>
      <w:r w:rsidR="007B7AA9">
        <w:t>Thus,</w:t>
      </w:r>
      <w:r w:rsidR="00660B5F">
        <w:t xml:space="preserve"> one model estimate may not be sufficient to capture this relationship and thus not </w:t>
      </w:r>
      <w:r w:rsidRPr="00E677D5">
        <w:rPr>
          <w:noProof/>
        </w:rPr>
        <w:t>transferable</w:t>
      </w:r>
      <w:r>
        <w:t xml:space="preserve"> to all areas within a region. </w:t>
      </w:r>
    </w:p>
    <w:p w14:paraId="12435F4A" w14:textId="77777777" w:rsidR="00FC384F" w:rsidRDefault="00FC384F" w:rsidP="00320FDE"/>
    <w:p w14:paraId="44752F06" w14:textId="1FDA1042" w:rsidR="0092256C" w:rsidRDefault="006A55B8" w:rsidP="00FA1EDF">
      <w:pPr>
        <w:pStyle w:val="Caption"/>
      </w:pPr>
      <w:bookmarkStart w:id="45" w:name="_Ref516029136"/>
      <w:bookmarkStart w:id="46" w:name="_Toc2003593"/>
      <w:r>
        <w:t xml:space="preserve">Table </w:t>
      </w:r>
      <w:r w:rsidR="001D2758">
        <w:rPr>
          <w:noProof/>
        </w:rPr>
        <w:fldChar w:fldCharType="begin"/>
      </w:r>
      <w:r w:rsidR="001D2758">
        <w:rPr>
          <w:noProof/>
        </w:rPr>
        <w:instrText xml:space="preserve"> SEQ Table \* ARABIC </w:instrText>
      </w:r>
      <w:r w:rsidR="001D2758">
        <w:rPr>
          <w:noProof/>
        </w:rPr>
        <w:fldChar w:fldCharType="separate"/>
      </w:r>
      <w:r w:rsidR="00724BFA">
        <w:rPr>
          <w:noProof/>
        </w:rPr>
        <w:t>4</w:t>
      </w:r>
      <w:r w:rsidR="001D2758">
        <w:rPr>
          <w:noProof/>
        </w:rPr>
        <w:fldChar w:fldCharType="end"/>
      </w:r>
      <w:bookmarkEnd w:id="45"/>
      <w:r>
        <w:t xml:space="preserve"> </w:t>
      </w:r>
      <w:r w:rsidR="00D16DDD">
        <w:t>Pooled vs. Urban/Suburban Walk Mode Share Models</w:t>
      </w:r>
      <w:bookmarkEnd w:id="46"/>
    </w:p>
    <w:tbl>
      <w:tblPr>
        <w:tblW w:w="7905" w:type="dxa"/>
        <w:jc w:val="center"/>
        <w:tblLook w:val="04A0" w:firstRow="1" w:lastRow="0" w:firstColumn="1" w:lastColumn="0" w:noHBand="0" w:noVBand="1"/>
      </w:tblPr>
      <w:tblGrid>
        <w:gridCol w:w="2613"/>
        <w:gridCol w:w="99"/>
        <w:gridCol w:w="1698"/>
        <w:gridCol w:w="1797"/>
        <w:gridCol w:w="1698"/>
      </w:tblGrid>
      <w:tr w:rsidR="0092256C" w:rsidRPr="00DB7E02" w14:paraId="7AADFABC" w14:textId="77777777" w:rsidTr="0076211B">
        <w:trPr>
          <w:trHeight w:val="543"/>
          <w:jc w:val="center"/>
        </w:trPr>
        <w:tc>
          <w:tcPr>
            <w:tcW w:w="2613" w:type="dxa"/>
            <w:tcBorders>
              <w:top w:val="single" w:sz="4" w:space="0" w:color="auto"/>
              <w:bottom w:val="single" w:sz="4" w:space="0" w:color="auto"/>
            </w:tcBorders>
            <w:shd w:val="clear" w:color="auto" w:fill="auto"/>
            <w:noWrap/>
            <w:vAlign w:val="bottom"/>
            <w:hideMark/>
          </w:tcPr>
          <w:p w14:paraId="5E99DB56" w14:textId="77777777" w:rsidR="0092256C" w:rsidRPr="00DB7E02" w:rsidRDefault="0092256C" w:rsidP="00675836">
            <w:pPr>
              <w:keepNext/>
              <w:widowControl w:val="0"/>
              <w:jc w:val="center"/>
              <w:rPr>
                <w:b/>
                <w:bCs/>
                <w:color w:val="000000"/>
                <w:sz w:val="20"/>
              </w:rPr>
            </w:pPr>
            <w:r w:rsidRPr="00DB7E02">
              <w:rPr>
                <w:b/>
                <w:bCs/>
                <w:color w:val="000000"/>
                <w:sz w:val="20"/>
              </w:rPr>
              <w:t xml:space="preserve">Context </w:t>
            </w:r>
            <w:r>
              <w:rPr>
                <w:b/>
                <w:bCs/>
                <w:color w:val="000000"/>
                <w:sz w:val="20"/>
              </w:rPr>
              <w:t>v</w:t>
            </w:r>
            <w:r w:rsidRPr="00DB7E02">
              <w:rPr>
                <w:b/>
                <w:bCs/>
                <w:color w:val="000000"/>
                <w:sz w:val="20"/>
              </w:rPr>
              <w:t>ariable (</w:t>
            </w:r>
            <w:r w:rsidRPr="00BE1989">
              <w:rPr>
                <w:b/>
                <w:bCs/>
                <w:i/>
                <w:noProof/>
                <w:color w:val="000000"/>
                <w:sz w:val="20"/>
              </w:rPr>
              <w:t>x</w:t>
            </w:r>
            <w:r w:rsidRPr="00BE1989">
              <w:rPr>
                <w:b/>
                <w:bCs/>
                <w:noProof/>
                <w:color w:val="000000"/>
                <w:sz w:val="20"/>
                <w:vertAlign w:val="subscript"/>
              </w:rPr>
              <w:t>n</w:t>
            </w:r>
            <w:r w:rsidRPr="00DB7E02">
              <w:rPr>
                <w:b/>
                <w:bCs/>
                <w:color w:val="000000"/>
                <w:sz w:val="20"/>
              </w:rPr>
              <w:t>)</w:t>
            </w:r>
          </w:p>
        </w:tc>
        <w:tc>
          <w:tcPr>
            <w:tcW w:w="1797" w:type="dxa"/>
            <w:gridSpan w:val="2"/>
            <w:tcBorders>
              <w:top w:val="single" w:sz="4" w:space="0" w:color="auto"/>
              <w:bottom w:val="single" w:sz="4" w:space="0" w:color="auto"/>
            </w:tcBorders>
            <w:shd w:val="clear" w:color="auto" w:fill="auto"/>
            <w:noWrap/>
            <w:vAlign w:val="bottom"/>
            <w:hideMark/>
          </w:tcPr>
          <w:p w14:paraId="4F804A22" w14:textId="77777777" w:rsidR="0092256C" w:rsidRPr="00DB7E02" w:rsidRDefault="0092256C" w:rsidP="00675836">
            <w:pPr>
              <w:keepNext/>
              <w:widowControl w:val="0"/>
              <w:jc w:val="center"/>
              <w:rPr>
                <w:b/>
                <w:bCs/>
                <w:color w:val="000000"/>
                <w:sz w:val="20"/>
              </w:rPr>
            </w:pPr>
            <w:r w:rsidRPr="00DB7E02">
              <w:rPr>
                <w:b/>
                <w:bCs/>
                <w:color w:val="000000"/>
                <w:sz w:val="20"/>
              </w:rPr>
              <w:t>Coefficient (</w:t>
            </w:r>
            <w:r w:rsidRPr="00DB7E02">
              <w:rPr>
                <w:b/>
                <w:bCs/>
                <w:i/>
                <w:color w:val="000000"/>
                <w:sz w:val="20"/>
              </w:rPr>
              <w:t>β</w:t>
            </w:r>
            <w:r w:rsidRPr="00DB7E02">
              <w:rPr>
                <w:b/>
                <w:bCs/>
                <w:color w:val="000000"/>
                <w:sz w:val="20"/>
              </w:rPr>
              <w:t>)</w:t>
            </w:r>
          </w:p>
        </w:tc>
        <w:tc>
          <w:tcPr>
            <w:tcW w:w="1797" w:type="dxa"/>
            <w:tcBorders>
              <w:top w:val="single" w:sz="4" w:space="0" w:color="auto"/>
              <w:bottom w:val="single" w:sz="4" w:space="0" w:color="auto"/>
            </w:tcBorders>
            <w:shd w:val="clear" w:color="auto" w:fill="auto"/>
            <w:noWrap/>
            <w:vAlign w:val="bottom"/>
            <w:hideMark/>
          </w:tcPr>
          <w:p w14:paraId="07A8D6AB" w14:textId="77777777" w:rsidR="0092256C" w:rsidRPr="00DB7E02" w:rsidRDefault="0092256C" w:rsidP="00675836">
            <w:pPr>
              <w:keepNext/>
              <w:widowControl w:val="0"/>
              <w:jc w:val="center"/>
              <w:rPr>
                <w:b/>
                <w:bCs/>
                <w:color w:val="000000"/>
                <w:sz w:val="20"/>
              </w:rPr>
            </w:pPr>
            <w:r w:rsidRPr="00DB7E02">
              <w:rPr>
                <w:b/>
                <w:bCs/>
                <w:color w:val="000000"/>
                <w:sz w:val="20"/>
              </w:rPr>
              <w:t>p-value</w:t>
            </w:r>
          </w:p>
        </w:tc>
        <w:tc>
          <w:tcPr>
            <w:tcW w:w="1697" w:type="dxa"/>
            <w:tcBorders>
              <w:top w:val="single" w:sz="4" w:space="0" w:color="auto"/>
              <w:bottom w:val="single" w:sz="4" w:space="0" w:color="auto"/>
            </w:tcBorders>
            <w:shd w:val="clear" w:color="auto" w:fill="auto"/>
            <w:vAlign w:val="bottom"/>
            <w:hideMark/>
          </w:tcPr>
          <w:p w14:paraId="73400934" w14:textId="77777777" w:rsidR="0092256C" w:rsidRPr="00DB7E02" w:rsidRDefault="0092256C" w:rsidP="00675836">
            <w:pPr>
              <w:keepNext/>
              <w:widowControl w:val="0"/>
              <w:jc w:val="center"/>
              <w:rPr>
                <w:b/>
                <w:bCs/>
                <w:color w:val="000000"/>
                <w:sz w:val="20"/>
              </w:rPr>
            </w:pPr>
            <w:r w:rsidRPr="00DB7E02">
              <w:rPr>
                <w:b/>
                <w:bCs/>
                <w:color w:val="000000"/>
                <w:sz w:val="20"/>
              </w:rPr>
              <w:t xml:space="preserve">Model </w:t>
            </w:r>
            <w:r w:rsidRPr="00DB7E02">
              <w:rPr>
                <w:b/>
                <w:bCs/>
                <w:color w:val="000000"/>
                <w:sz w:val="20"/>
              </w:rPr>
              <w:br/>
              <w:t>pseudo-R</w:t>
            </w:r>
            <w:r w:rsidRPr="00DB7E02">
              <w:rPr>
                <w:b/>
                <w:bCs/>
                <w:color w:val="000000"/>
                <w:sz w:val="20"/>
                <w:vertAlign w:val="superscript"/>
              </w:rPr>
              <w:t>2</w:t>
            </w:r>
          </w:p>
        </w:tc>
      </w:tr>
      <w:tr w:rsidR="0092256C" w:rsidRPr="00DB7E02" w14:paraId="319E67B8" w14:textId="77777777" w:rsidTr="0076211B">
        <w:trPr>
          <w:trHeight w:val="167"/>
          <w:jc w:val="center"/>
        </w:trPr>
        <w:tc>
          <w:tcPr>
            <w:tcW w:w="2613" w:type="dxa"/>
            <w:tcBorders>
              <w:top w:val="single" w:sz="4" w:space="0" w:color="auto"/>
            </w:tcBorders>
            <w:shd w:val="clear" w:color="auto" w:fill="auto"/>
            <w:noWrap/>
            <w:vAlign w:val="bottom"/>
          </w:tcPr>
          <w:p w14:paraId="7F78FF65" w14:textId="77777777" w:rsidR="0092256C" w:rsidRPr="00DB7E02" w:rsidRDefault="0092256C" w:rsidP="00675836">
            <w:pPr>
              <w:keepNext/>
              <w:widowControl w:val="0"/>
              <w:rPr>
                <w:b/>
                <w:bCs/>
                <w:i/>
                <w:color w:val="000000"/>
                <w:sz w:val="20"/>
              </w:rPr>
            </w:pPr>
            <w:r w:rsidRPr="00DB7E02">
              <w:rPr>
                <w:b/>
                <w:bCs/>
                <w:i/>
                <w:color w:val="000000"/>
                <w:sz w:val="20"/>
              </w:rPr>
              <w:t>Model 1</w:t>
            </w:r>
            <w:r>
              <w:rPr>
                <w:b/>
                <w:bCs/>
                <w:i/>
                <w:color w:val="000000"/>
                <w:sz w:val="20"/>
              </w:rPr>
              <w:t xml:space="preserve"> Urban</w:t>
            </w:r>
          </w:p>
        </w:tc>
        <w:tc>
          <w:tcPr>
            <w:tcW w:w="1797" w:type="dxa"/>
            <w:gridSpan w:val="2"/>
            <w:tcBorders>
              <w:top w:val="single" w:sz="4" w:space="0" w:color="auto"/>
            </w:tcBorders>
            <w:shd w:val="clear" w:color="auto" w:fill="auto"/>
            <w:noWrap/>
            <w:vAlign w:val="bottom"/>
          </w:tcPr>
          <w:p w14:paraId="5FEAC4B1" w14:textId="77777777" w:rsidR="0092256C" w:rsidRPr="00DB7E02" w:rsidRDefault="0092256C" w:rsidP="00675836">
            <w:pPr>
              <w:keepNext/>
              <w:widowControl w:val="0"/>
              <w:jc w:val="center"/>
              <w:rPr>
                <w:b/>
                <w:bCs/>
                <w:i/>
                <w:color w:val="000000"/>
                <w:sz w:val="20"/>
              </w:rPr>
            </w:pPr>
          </w:p>
        </w:tc>
        <w:tc>
          <w:tcPr>
            <w:tcW w:w="1797" w:type="dxa"/>
            <w:tcBorders>
              <w:top w:val="single" w:sz="4" w:space="0" w:color="auto"/>
            </w:tcBorders>
            <w:shd w:val="clear" w:color="auto" w:fill="auto"/>
            <w:noWrap/>
            <w:vAlign w:val="bottom"/>
          </w:tcPr>
          <w:p w14:paraId="4C88B602" w14:textId="77777777" w:rsidR="0092256C" w:rsidRPr="00DB7E02" w:rsidRDefault="0092256C" w:rsidP="00675836">
            <w:pPr>
              <w:keepNext/>
              <w:widowControl w:val="0"/>
              <w:jc w:val="center"/>
              <w:rPr>
                <w:b/>
                <w:bCs/>
                <w:i/>
                <w:color w:val="000000"/>
                <w:sz w:val="20"/>
              </w:rPr>
            </w:pPr>
          </w:p>
        </w:tc>
        <w:tc>
          <w:tcPr>
            <w:tcW w:w="1697" w:type="dxa"/>
            <w:tcBorders>
              <w:top w:val="single" w:sz="4" w:space="0" w:color="auto"/>
            </w:tcBorders>
            <w:shd w:val="clear" w:color="auto" w:fill="auto"/>
            <w:noWrap/>
            <w:vAlign w:val="center"/>
          </w:tcPr>
          <w:p w14:paraId="33BB404C" w14:textId="77777777" w:rsidR="0092256C" w:rsidRPr="00DB7E02" w:rsidRDefault="0092256C" w:rsidP="00675836">
            <w:pPr>
              <w:keepNext/>
              <w:widowControl w:val="0"/>
              <w:jc w:val="center"/>
              <w:rPr>
                <w:i/>
                <w:color w:val="000000"/>
                <w:sz w:val="20"/>
              </w:rPr>
            </w:pPr>
            <w:r w:rsidRPr="00DB7E02">
              <w:rPr>
                <w:color w:val="000000"/>
                <w:sz w:val="20"/>
              </w:rPr>
              <w:t>0.0</w:t>
            </w:r>
            <w:r>
              <w:rPr>
                <w:color w:val="000000"/>
                <w:sz w:val="20"/>
              </w:rPr>
              <w:t>3</w:t>
            </w:r>
          </w:p>
        </w:tc>
      </w:tr>
      <w:tr w:rsidR="0092256C" w:rsidRPr="00DB7E02" w14:paraId="2488C19B" w14:textId="77777777" w:rsidTr="0076211B">
        <w:trPr>
          <w:trHeight w:val="167"/>
          <w:jc w:val="center"/>
        </w:trPr>
        <w:tc>
          <w:tcPr>
            <w:tcW w:w="2613" w:type="dxa"/>
            <w:shd w:val="clear" w:color="auto" w:fill="auto"/>
            <w:noWrap/>
            <w:vAlign w:val="bottom"/>
            <w:hideMark/>
          </w:tcPr>
          <w:p w14:paraId="24FDDBF5" w14:textId="447ABF60" w:rsidR="0092256C" w:rsidRPr="00DB7E02" w:rsidRDefault="0092256C" w:rsidP="00675836">
            <w:pPr>
              <w:keepNext/>
              <w:widowControl w:val="0"/>
              <w:ind w:left="215"/>
              <w:rPr>
                <w:bCs/>
                <w:color w:val="000000"/>
                <w:sz w:val="20"/>
              </w:rPr>
            </w:pPr>
            <w:r>
              <w:rPr>
                <w:bCs/>
                <w:color w:val="000000"/>
                <w:sz w:val="20"/>
              </w:rPr>
              <w:t>PIEbg</w:t>
            </w:r>
            <w:r w:rsidRPr="00DB7E02">
              <w:rPr>
                <w:bCs/>
                <w:color w:val="000000"/>
                <w:sz w:val="20"/>
              </w:rPr>
              <w:t xml:space="preserve"> </w:t>
            </w:r>
            <w:r w:rsidR="00C15A10">
              <w:rPr>
                <w:bCs/>
                <w:color w:val="000000"/>
                <w:sz w:val="20"/>
              </w:rPr>
              <w:t>(40-100)</w:t>
            </w:r>
          </w:p>
        </w:tc>
        <w:tc>
          <w:tcPr>
            <w:tcW w:w="1797" w:type="dxa"/>
            <w:gridSpan w:val="2"/>
            <w:shd w:val="clear" w:color="auto" w:fill="auto"/>
            <w:noWrap/>
            <w:vAlign w:val="bottom"/>
            <w:hideMark/>
          </w:tcPr>
          <w:p w14:paraId="39EBFEE0" w14:textId="77777777" w:rsidR="0092256C" w:rsidRPr="00DB7E02" w:rsidRDefault="0092256C" w:rsidP="00675836">
            <w:pPr>
              <w:keepNext/>
              <w:widowControl w:val="0"/>
              <w:jc w:val="center"/>
              <w:rPr>
                <w:bCs/>
                <w:color w:val="000000"/>
                <w:sz w:val="20"/>
              </w:rPr>
            </w:pPr>
            <w:r>
              <w:rPr>
                <w:bCs/>
                <w:color w:val="000000"/>
                <w:sz w:val="20"/>
              </w:rPr>
              <w:t>0.02</w:t>
            </w:r>
          </w:p>
        </w:tc>
        <w:tc>
          <w:tcPr>
            <w:tcW w:w="1797" w:type="dxa"/>
            <w:shd w:val="clear" w:color="auto" w:fill="auto"/>
            <w:noWrap/>
            <w:vAlign w:val="bottom"/>
            <w:hideMark/>
          </w:tcPr>
          <w:p w14:paraId="2D9DAC0C" w14:textId="77777777" w:rsidR="0092256C" w:rsidRPr="00DB7E02" w:rsidRDefault="0092256C" w:rsidP="00675836">
            <w:pPr>
              <w:keepNext/>
              <w:widowControl w:val="0"/>
              <w:jc w:val="center"/>
              <w:rPr>
                <w:bCs/>
                <w:color w:val="000000"/>
                <w:sz w:val="20"/>
              </w:rPr>
            </w:pPr>
            <w:r w:rsidRPr="00DB7E02">
              <w:rPr>
                <w:bCs/>
                <w:color w:val="000000"/>
                <w:sz w:val="20"/>
              </w:rPr>
              <w:t>0.00</w:t>
            </w:r>
          </w:p>
        </w:tc>
        <w:tc>
          <w:tcPr>
            <w:tcW w:w="1697" w:type="dxa"/>
            <w:vMerge w:val="restart"/>
            <w:shd w:val="clear" w:color="auto" w:fill="auto"/>
            <w:noWrap/>
            <w:vAlign w:val="center"/>
            <w:hideMark/>
          </w:tcPr>
          <w:p w14:paraId="14DE0594" w14:textId="77777777" w:rsidR="0092256C" w:rsidRPr="00DB7E02" w:rsidRDefault="0092256C" w:rsidP="00675836">
            <w:pPr>
              <w:keepNext/>
              <w:widowControl w:val="0"/>
              <w:jc w:val="center"/>
              <w:rPr>
                <w:color w:val="000000"/>
                <w:sz w:val="20"/>
              </w:rPr>
            </w:pPr>
          </w:p>
        </w:tc>
      </w:tr>
      <w:tr w:rsidR="0092256C" w:rsidRPr="00DB7E02" w14:paraId="70D8F417" w14:textId="77777777" w:rsidTr="0076211B">
        <w:trPr>
          <w:trHeight w:val="167"/>
          <w:jc w:val="center"/>
        </w:trPr>
        <w:tc>
          <w:tcPr>
            <w:tcW w:w="2613" w:type="dxa"/>
            <w:shd w:val="clear" w:color="auto" w:fill="auto"/>
            <w:noWrap/>
            <w:vAlign w:val="bottom"/>
            <w:hideMark/>
          </w:tcPr>
          <w:p w14:paraId="2D780BAF" w14:textId="77777777" w:rsidR="0092256C" w:rsidRPr="00DB7E02" w:rsidRDefault="0092256C" w:rsidP="00675836">
            <w:pPr>
              <w:keepNext/>
              <w:widowControl w:val="0"/>
              <w:ind w:left="215"/>
              <w:rPr>
                <w:color w:val="000000"/>
                <w:sz w:val="20"/>
              </w:rPr>
            </w:pPr>
            <w:r w:rsidRPr="00DB7E02">
              <w:rPr>
                <w:color w:val="000000"/>
                <w:sz w:val="20"/>
              </w:rPr>
              <w:t>Constant</w:t>
            </w:r>
          </w:p>
        </w:tc>
        <w:tc>
          <w:tcPr>
            <w:tcW w:w="1797" w:type="dxa"/>
            <w:gridSpan w:val="2"/>
            <w:shd w:val="clear" w:color="auto" w:fill="auto"/>
            <w:noWrap/>
            <w:vAlign w:val="bottom"/>
            <w:hideMark/>
          </w:tcPr>
          <w:p w14:paraId="71651123" w14:textId="77777777" w:rsidR="0092256C" w:rsidRPr="00DB7E02" w:rsidRDefault="0092256C" w:rsidP="00675836">
            <w:pPr>
              <w:keepNext/>
              <w:widowControl w:val="0"/>
              <w:jc w:val="center"/>
              <w:rPr>
                <w:color w:val="000000"/>
                <w:sz w:val="20"/>
              </w:rPr>
            </w:pPr>
            <w:r w:rsidRPr="00DB7E02">
              <w:rPr>
                <w:color w:val="000000"/>
                <w:sz w:val="20"/>
              </w:rPr>
              <w:t>-</w:t>
            </w:r>
            <w:r>
              <w:rPr>
                <w:color w:val="000000"/>
                <w:sz w:val="20"/>
              </w:rPr>
              <w:t>2.83</w:t>
            </w:r>
          </w:p>
        </w:tc>
        <w:tc>
          <w:tcPr>
            <w:tcW w:w="1797" w:type="dxa"/>
            <w:shd w:val="clear" w:color="auto" w:fill="auto"/>
            <w:noWrap/>
            <w:vAlign w:val="bottom"/>
            <w:hideMark/>
          </w:tcPr>
          <w:p w14:paraId="4D4F6061" w14:textId="77777777" w:rsidR="0092256C" w:rsidRPr="00DB7E02" w:rsidRDefault="0092256C" w:rsidP="00675836">
            <w:pPr>
              <w:keepNext/>
              <w:widowControl w:val="0"/>
              <w:jc w:val="center"/>
              <w:rPr>
                <w:color w:val="000000"/>
                <w:sz w:val="20"/>
              </w:rPr>
            </w:pPr>
            <w:r w:rsidRPr="00DB7E02">
              <w:rPr>
                <w:color w:val="000000"/>
                <w:sz w:val="20"/>
              </w:rPr>
              <w:t>0.00</w:t>
            </w:r>
          </w:p>
        </w:tc>
        <w:tc>
          <w:tcPr>
            <w:tcW w:w="1697" w:type="dxa"/>
            <w:vMerge/>
            <w:shd w:val="clear" w:color="auto" w:fill="auto"/>
            <w:vAlign w:val="center"/>
            <w:hideMark/>
          </w:tcPr>
          <w:p w14:paraId="79313C08" w14:textId="77777777" w:rsidR="0092256C" w:rsidRPr="00DB7E02" w:rsidRDefault="0092256C" w:rsidP="00675836">
            <w:pPr>
              <w:keepNext/>
              <w:widowControl w:val="0"/>
              <w:jc w:val="center"/>
              <w:rPr>
                <w:color w:val="000000"/>
                <w:sz w:val="20"/>
              </w:rPr>
            </w:pPr>
          </w:p>
        </w:tc>
      </w:tr>
      <w:tr w:rsidR="0092256C" w:rsidRPr="00DB7E02" w14:paraId="233496E2" w14:textId="77777777" w:rsidTr="0076211B">
        <w:trPr>
          <w:trHeight w:val="167"/>
          <w:jc w:val="center"/>
        </w:trPr>
        <w:tc>
          <w:tcPr>
            <w:tcW w:w="2613" w:type="dxa"/>
            <w:shd w:val="clear" w:color="auto" w:fill="auto"/>
            <w:noWrap/>
            <w:vAlign w:val="bottom"/>
          </w:tcPr>
          <w:p w14:paraId="4E1919DB" w14:textId="77777777" w:rsidR="0092256C" w:rsidRPr="00DB7E02" w:rsidRDefault="0092256C" w:rsidP="00675836">
            <w:pPr>
              <w:keepNext/>
              <w:widowControl w:val="0"/>
              <w:ind w:left="215"/>
              <w:rPr>
                <w:color w:val="000000"/>
                <w:sz w:val="20"/>
              </w:rPr>
            </w:pPr>
            <w:r>
              <w:rPr>
                <w:color w:val="000000"/>
                <w:sz w:val="20"/>
              </w:rPr>
              <w:t>Log-Likelihood</w:t>
            </w:r>
          </w:p>
        </w:tc>
        <w:tc>
          <w:tcPr>
            <w:tcW w:w="1797" w:type="dxa"/>
            <w:gridSpan w:val="2"/>
            <w:shd w:val="clear" w:color="auto" w:fill="auto"/>
            <w:noWrap/>
            <w:vAlign w:val="bottom"/>
          </w:tcPr>
          <w:p w14:paraId="3401B802" w14:textId="77777777" w:rsidR="0092256C" w:rsidRPr="00DB7E02" w:rsidRDefault="0092256C" w:rsidP="00675836">
            <w:pPr>
              <w:keepNext/>
              <w:widowControl w:val="0"/>
              <w:jc w:val="center"/>
              <w:rPr>
                <w:color w:val="000000"/>
                <w:sz w:val="20"/>
              </w:rPr>
            </w:pPr>
            <w:r>
              <w:rPr>
                <w:color w:val="000000"/>
                <w:sz w:val="20"/>
              </w:rPr>
              <w:t>-2993</w:t>
            </w:r>
          </w:p>
        </w:tc>
        <w:tc>
          <w:tcPr>
            <w:tcW w:w="1797" w:type="dxa"/>
            <w:shd w:val="clear" w:color="auto" w:fill="auto"/>
            <w:noWrap/>
            <w:vAlign w:val="bottom"/>
          </w:tcPr>
          <w:p w14:paraId="40FCE936"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418B9735" w14:textId="77777777" w:rsidR="0092256C" w:rsidRPr="00DB7E02" w:rsidRDefault="0092256C" w:rsidP="00675836">
            <w:pPr>
              <w:keepNext/>
              <w:widowControl w:val="0"/>
              <w:jc w:val="center"/>
              <w:rPr>
                <w:color w:val="000000"/>
                <w:sz w:val="20"/>
              </w:rPr>
            </w:pPr>
          </w:p>
        </w:tc>
      </w:tr>
      <w:tr w:rsidR="0092256C" w:rsidRPr="00DB7E02" w14:paraId="324C4B38" w14:textId="77777777" w:rsidTr="0076211B">
        <w:trPr>
          <w:trHeight w:val="167"/>
          <w:jc w:val="center"/>
        </w:trPr>
        <w:tc>
          <w:tcPr>
            <w:tcW w:w="2613" w:type="dxa"/>
            <w:shd w:val="clear" w:color="auto" w:fill="auto"/>
            <w:noWrap/>
            <w:vAlign w:val="bottom"/>
          </w:tcPr>
          <w:p w14:paraId="338D32A5" w14:textId="77777777" w:rsidR="0092256C" w:rsidRPr="00DB7E02" w:rsidRDefault="0092256C" w:rsidP="00675836">
            <w:pPr>
              <w:keepNext/>
              <w:widowControl w:val="0"/>
              <w:ind w:left="215"/>
              <w:rPr>
                <w:color w:val="000000"/>
                <w:sz w:val="20"/>
              </w:rPr>
            </w:pPr>
            <w:r>
              <w:rPr>
                <w:color w:val="000000"/>
                <w:sz w:val="20"/>
              </w:rPr>
              <w:t>Chi-squared</w:t>
            </w:r>
          </w:p>
        </w:tc>
        <w:tc>
          <w:tcPr>
            <w:tcW w:w="1797" w:type="dxa"/>
            <w:gridSpan w:val="2"/>
            <w:shd w:val="clear" w:color="auto" w:fill="auto"/>
            <w:noWrap/>
            <w:vAlign w:val="bottom"/>
          </w:tcPr>
          <w:p w14:paraId="4ADCB5EA" w14:textId="77777777" w:rsidR="0092256C" w:rsidRPr="00DB7E02" w:rsidRDefault="0092256C" w:rsidP="00675836">
            <w:pPr>
              <w:keepNext/>
              <w:widowControl w:val="0"/>
              <w:jc w:val="center"/>
              <w:rPr>
                <w:color w:val="000000"/>
                <w:sz w:val="20"/>
              </w:rPr>
            </w:pPr>
            <w:r>
              <w:rPr>
                <w:color w:val="000000"/>
                <w:sz w:val="20"/>
              </w:rPr>
              <w:t>166</w:t>
            </w:r>
          </w:p>
        </w:tc>
        <w:tc>
          <w:tcPr>
            <w:tcW w:w="1797" w:type="dxa"/>
            <w:shd w:val="clear" w:color="auto" w:fill="auto"/>
            <w:noWrap/>
            <w:vAlign w:val="bottom"/>
          </w:tcPr>
          <w:p w14:paraId="103BA0E9"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5A98C862" w14:textId="77777777" w:rsidR="0092256C" w:rsidRPr="00DB7E02" w:rsidRDefault="0092256C" w:rsidP="00675836">
            <w:pPr>
              <w:keepNext/>
              <w:widowControl w:val="0"/>
              <w:jc w:val="center"/>
              <w:rPr>
                <w:color w:val="000000"/>
                <w:sz w:val="20"/>
              </w:rPr>
            </w:pPr>
          </w:p>
        </w:tc>
      </w:tr>
      <w:tr w:rsidR="0092256C" w:rsidRPr="00DB7E02" w14:paraId="776C9E6E" w14:textId="77777777" w:rsidTr="0076211B">
        <w:trPr>
          <w:trHeight w:val="167"/>
          <w:jc w:val="center"/>
        </w:trPr>
        <w:tc>
          <w:tcPr>
            <w:tcW w:w="2613" w:type="dxa"/>
            <w:shd w:val="clear" w:color="auto" w:fill="auto"/>
            <w:noWrap/>
            <w:vAlign w:val="bottom"/>
          </w:tcPr>
          <w:p w14:paraId="33EE613C" w14:textId="77777777" w:rsidR="0092256C" w:rsidRPr="00DB7E02" w:rsidRDefault="0092256C" w:rsidP="00675836">
            <w:pPr>
              <w:keepNext/>
              <w:widowControl w:val="0"/>
              <w:rPr>
                <w:b/>
                <w:bCs/>
                <w:i/>
                <w:color w:val="000000"/>
                <w:sz w:val="20"/>
              </w:rPr>
            </w:pPr>
            <w:r w:rsidRPr="00DB7E02">
              <w:rPr>
                <w:b/>
                <w:bCs/>
                <w:i/>
                <w:color w:val="000000"/>
                <w:sz w:val="20"/>
              </w:rPr>
              <w:t>Model 2</w:t>
            </w:r>
            <w:r>
              <w:rPr>
                <w:b/>
                <w:bCs/>
                <w:i/>
                <w:color w:val="000000"/>
                <w:sz w:val="20"/>
              </w:rPr>
              <w:t xml:space="preserve"> Suburban</w:t>
            </w:r>
          </w:p>
        </w:tc>
        <w:tc>
          <w:tcPr>
            <w:tcW w:w="1797" w:type="dxa"/>
            <w:gridSpan w:val="2"/>
            <w:shd w:val="clear" w:color="auto" w:fill="auto"/>
            <w:noWrap/>
            <w:vAlign w:val="bottom"/>
          </w:tcPr>
          <w:p w14:paraId="5B1515FC" w14:textId="77777777" w:rsidR="0092256C" w:rsidRPr="00DB7E02" w:rsidRDefault="0092256C" w:rsidP="00675836">
            <w:pPr>
              <w:keepNext/>
              <w:widowControl w:val="0"/>
              <w:jc w:val="center"/>
              <w:rPr>
                <w:b/>
                <w:bCs/>
                <w:i/>
                <w:color w:val="000000"/>
                <w:sz w:val="20"/>
              </w:rPr>
            </w:pPr>
          </w:p>
        </w:tc>
        <w:tc>
          <w:tcPr>
            <w:tcW w:w="1797" w:type="dxa"/>
            <w:shd w:val="clear" w:color="auto" w:fill="auto"/>
            <w:noWrap/>
            <w:vAlign w:val="bottom"/>
          </w:tcPr>
          <w:p w14:paraId="52F9408F" w14:textId="77777777" w:rsidR="0092256C" w:rsidRPr="00DB7E02" w:rsidRDefault="0092256C" w:rsidP="00675836">
            <w:pPr>
              <w:keepNext/>
              <w:widowControl w:val="0"/>
              <w:jc w:val="center"/>
              <w:rPr>
                <w:b/>
                <w:bCs/>
                <w:i/>
                <w:color w:val="000000"/>
                <w:sz w:val="20"/>
              </w:rPr>
            </w:pPr>
          </w:p>
        </w:tc>
        <w:tc>
          <w:tcPr>
            <w:tcW w:w="1697" w:type="dxa"/>
            <w:shd w:val="clear" w:color="auto" w:fill="auto"/>
            <w:noWrap/>
            <w:vAlign w:val="center"/>
          </w:tcPr>
          <w:p w14:paraId="3F2E89E3" w14:textId="77777777" w:rsidR="0092256C" w:rsidRPr="00DB7E02" w:rsidRDefault="0092256C" w:rsidP="00675836">
            <w:pPr>
              <w:keepNext/>
              <w:widowControl w:val="0"/>
              <w:jc w:val="center"/>
              <w:rPr>
                <w:i/>
                <w:color w:val="000000"/>
                <w:sz w:val="20"/>
              </w:rPr>
            </w:pPr>
            <w:r w:rsidRPr="00DB7E02">
              <w:rPr>
                <w:color w:val="000000"/>
                <w:sz w:val="20"/>
              </w:rPr>
              <w:t>0.0</w:t>
            </w:r>
            <w:r>
              <w:rPr>
                <w:color w:val="000000"/>
                <w:sz w:val="20"/>
              </w:rPr>
              <w:t>3</w:t>
            </w:r>
          </w:p>
        </w:tc>
      </w:tr>
      <w:tr w:rsidR="0092256C" w:rsidRPr="00DB7E02" w14:paraId="2335BF94" w14:textId="77777777" w:rsidTr="0076211B">
        <w:trPr>
          <w:trHeight w:val="167"/>
          <w:jc w:val="center"/>
        </w:trPr>
        <w:tc>
          <w:tcPr>
            <w:tcW w:w="2613" w:type="dxa"/>
            <w:shd w:val="clear" w:color="auto" w:fill="auto"/>
            <w:noWrap/>
            <w:vAlign w:val="bottom"/>
            <w:hideMark/>
          </w:tcPr>
          <w:p w14:paraId="1D06E16B" w14:textId="2F4616CE" w:rsidR="0092256C" w:rsidRPr="00DB7E02" w:rsidRDefault="0092256C" w:rsidP="00675836">
            <w:pPr>
              <w:keepNext/>
              <w:widowControl w:val="0"/>
              <w:ind w:left="215"/>
              <w:rPr>
                <w:bCs/>
                <w:color w:val="000000"/>
                <w:sz w:val="20"/>
              </w:rPr>
            </w:pPr>
            <w:r>
              <w:rPr>
                <w:bCs/>
                <w:color w:val="000000"/>
                <w:sz w:val="20"/>
              </w:rPr>
              <w:t>PIEbg</w:t>
            </w:r>
            <w:r w:rsidR="00C15A10">
              <w:rPr>
                <w:bCs/>
                <w:color w:val="000000"/>
                <w:sz w:val="20"/>
              </w:rPr>
              <w:t xml:space="preserve"> (20-40)</w:t>
            </w:r>
          </w:p>
        </w:tc>
        <w:tc>
          <w:tcPr>
            <w:tcW w:w="1797" w:type="dxa"/>
            <w:gridSpan w:val="2"/>
            <w:shd w:val="clear" w:color="auto" w:fill="auto"/>
            <w:noWrap/>
            <w:vAlign w:val="bottom"/>
            <w:hideMark/>
          </w:tcPr>
          <w:p w14:paraId="2C02784D" w14:textId="77777777" w:rsidR="0092256C" w:rsidRPr="00DB7E02" w:rsidRDefault="0092256C" w:rsidP="00675836">
            <w:pPr>
              <w:keepNext/>
              <w:widowControl w:val="0"/>
              <w:jc w:val="center"/>
              <w:rPr>
                <w:bCs/>
                <w:color w:val="000000"/>
                <w:sz w:val="20"/>
              </w:rPr>
            </w:pPr>
            <w:r>
              <w:rPr>
                <w:bCs/>
                <w:color w:val="000000"/>
                <w:sz w:val="20"/>
              </w:rPr>
              <w:t>0.10</w:t>
            </w:r>
          </w:p>
        </w:tc>
        <w:tc>
          <w:tcPr>
            <w:tcW w:w="1797" w:type="dxa"/>
            <w:shd w:val="clear" w:color="auto" w:fill="auto"/>
            <w:noWrap/>
            <w:vAlign w:val="bottom"/>
            <w:hideMark/>
          </w:tcPr>
          <w:p w14:paraId="75CDDED0" w14:textId="77777777" w:rsidR="0092256C" w:rsidRPr="00DB7E02" w:rsidRDefault="0092256C" w:rsidP="00675836">
            <w:pPr>
              <w:keepNext/>
              <w:widowControl w:val="0"/>
              <w:jc w:val="center"/>
              <w:rPr>
                <w:bCs/>
                <w:color w:val="000000"/>
                <w:sz w:val="20"/>
              </w:rPr>
            </w:pPr>
            <w:r w:rsidRPr="00DB7E02">
              <w:rPr>
                <w:bCs/>
                <w:color w:val="000000"/>
                <w:sz w:val="20"/>
              </w:rPr>
              <w:t>0.00</w:t>
            </w:r>
          </w:p>
        </w:tc>
        <w:tc>
          <w:tcPr>
            <w:tcW w:w="1697" w:type="dxa"/>
            <w:vMerge w:val="restart"/>
            <w:shd w:val="clear" w:color="auto" w:fill="auto"/>
            <w:noWrap/>
            <w:vAlign w:val="center"/>
            <w:hideMark/>
          </w:tcPr>
          <w:p w14:paraId="75E9BE48" w14:textId="77777777" w:rsidR="0092256C" w:rsidRPr="00DB7E02" w:rsidRDefault="0092256C" w:rsidP="00675836">
            <w:pPr>
              <w:keepNext/>
              <w:widowControl w:val="0"/>
              <w:jc w:val="center"/>
              <w:rPr>
                <w:color w:val="000000"/>
                <w:sz w:val="20"/>
              </w:rPr>
            </w:pPr>
          </w:p>
        </w:tc>
      </w:tr>
      <w:tr w:rsidR="0092256C" w:rsidRPr="00DB7E02" w14:paraId="22E29660" w14:textId="77777777" w:rsidTr="0076211B">
        <w:trPr>
          <w:trHeight w:val="167"/>
          <w:jc w:val="center"/>
        </w:trPr>
        <w:tc>
          <w:tcPr>
            <w:tcW w:w="2613" w:type="dxa"/>
            <w:shd w:val="clear" w:color="auto" w:fill="auto"/>
            <w:noWrap/>
            <w:vAlign w:val="bottom"/>
            <w:hideMark/>
          </w:tcPr>
          <w:p w14:paraId="60034823" w14:textId="77777777" w:rsidR="0092256C" w:rsidRPr="00DB7E02" w:rsidRDefault="0092256C" w:rsidP="00675836">
            <w:pPr>
              <w:keepNext/>
              <w:widowControl w:val="0"/>
              <w:ind w:left="215"/>
              <w:rPr>
                <w:color w:val="000000"/>
                <w:sz w:val="20"/>
              </w:rPr>
            </w:pPr>
            <w:r w:rsidRPr="00DB7E02">
              <w:rPr>
                <w:color w:val="000000"/>
                <w:sz w:val="20"/>
              </w:rPr>
              <w:t>Constant</w:t>
            </w:r>
          </w:p>
        </w:tc>
        <w:tc>
          <w:tcPr>
            <w:tcW w:w="1797" w:type="dxa"/>
            <w:gridSpan w:val="2"/>
            <w:shd w:val="clear" w:color="auto" w:fill="auto"/>
            <w:noWrap/>
            <w:vAlign w:val="bottom"/>
            <w:hideMark/>
          </w:tcPr>
          <w:p w14:paraId="78F34978" w14:textId="77777777" w:rsidR="0092256C" w:rsidRPr="00DB7E02" w:rsidRDefault="0092256C" w:rsidP="00675836">
            <w:pPr>
              <w:keepNext/>
              <w:widowControl w:val="0"/>
              <w:jc w:val="center"/>
              <w:rPr>
                <w:color w:val="000000"/>
                <w:sz w:val="20"/>
              </w:rPr>
            </w:pPr>
            <w:r>
              <w:rPr>
                <w:color w:val="000000"/>
                <w:sz w:val="20"/>
              </w:rPr>
              <w:t>-5.73</w:t>
            </w:r>
          </w:p>
        </w:tc>
        <w:tc>
          <w:tcPr>
            <w:tcW w:w="1797" w:type="dxa"/>
            <w:shd w:val="clear" w:color="auto" w:fill="auto"/>
            <w:noWrap/>
            <w:vAlign w:val="bottom"/>
            <w:hideMark/>
          </w:tcPr>
          <w:p w14:paraId="285669DF" w14:textId="77777777" w:rsidR="0092256C" w:rsidRPr="00DB7E02" w:rsidRDefault="0092256C" w:rsidP="00675836">
            <w:pPr>
              <w:keepNext/>
              <w:widowControl w:val="0"/>
              <w:jc w:val="center"/>
              <w:rPr>
                <w:color w:val="000000"/>
                <w:sz w:val="20"/>
              </w:rPr>
            </w:pPr>
            <w:r w:rsidRPr="00DB7E02">
              <w:rPr>
                <w:color w:val="000000"/>
                <w:sz w:val="20"/>
              </w:rPr>
              <w:t>0.00</w:t>
            </w:r>
          </w:p>
        </w:tc>
        <w:tc>
          <w:tcPr>
            <w:tcW w:w="1697" w:type="dxa"/>
            <w:vMerge/>
            <w:shd w:val="clear" w:color="auto" w:fill="auto"/>
            <w:vAlign w:val="center"/>
            <w:hideMark/>
          </w:tcPr>
          <w:p w14:paraId="16284B6F" w14:textId="77777777" w:rsidR="0092256C" w:rsidRPr="00DB7E02" w:rsidRDefault="0092256C" w:rsidP="00675836">
            <w:pPr>
              <w:keepNext/>
              <w:widowControl w:val="0"/>
              <w:jc w:val="center"/>
              <w:rPr>
                <w:color w:val="000000"/>
                <w:sz w:val="20"/>
              </w:rPr>
            </w:pPr>
          </w:p>
        </w:tc>
      </w:tr>
      <w:tr w:rsidR="0092256C" w:rsidRPr="00DB7E02" w14:paraId="2F1FBFD4" w14:textId="77777777" w:rsidTr="0076211B">
        <w:trPr>
          <w:trHeight w:val="167"/>
          <w:jc w:val="center"/>
        </w:trPr>
        <w:tc>
          <w:tcPr>
            <w:tcW w:w="2613" w:type="dxa"/>
            <w:shd w:val="clear" w:color="auto" w:fill="auto"/>
            <w:noWrap/>
            <w:vAlign w:val="bottom"/>
          </w:tcPr>
          <w:p w14:paraId="69AFAB6D" w14:textId="77777777" w:rsidR="0092256C" w:rsidRPr="00DB7E02" w:rsidRDefault="0092256C" w:rsidP="00675836">
            <w:pPr>
              <w:keepNext/>
              <w:widowControl w:val="0"/>
              <w:ind w:left="215"/>
              <w:rPr>
                <w:color w:val="000000"/>
                <w:sz w:val="20"/>
              </w:rPr>
            </w:pPr>
            <w:r>
              <w:rPr>
                <w:color w:val="000000"/>
                <w:sz w:val="20"/>
              </w:rPr>
              <w:t>Log-Likelihood</w:t>
            </w:r>
          </w:p>
        </w:tc>
        <w:tc>
          <w:tcPr>
            <w:tcW w:w="1797" w:type="dxa"/>
            <w:gridSpan w:val="2"/>
            <w:shd w:val="clear" w:color="auto" w:fill="auto"/>
            <w:noWrap/>
            <w:vAlign w:val="bottom"/>
          </w:tcPr>
          <w:p w14:paraId="13506A8A" w14:textId="77777777" w:rsidR="0092256C" w:rsidRDefault="0092256C" w:rsidP="00675836">
            <w:pPr>
              <w:keepNext/>
              <w:widowControl w:val="0"/>
              <w:jc w:val="center"/>
              <w:rPr>
                <w:color w:val="000000"/>
                <w:sz w:val="20"/>
              </w:rPr>
            </w:pPr>
            <w:r>
              <w:rPr>
                <w:color w:val="000000"/>
                <w:sz w:val="20"/>
              </w:rPr>
              <w:t>-9364</w:t>
            </w:r>
          </w:p>
        </w:tc>
        <w:tc>
          <w:tcPr>
            <w:tcW w:w="1797" w:type="dxa"/>
            <w:shd w:val="clear" w:color="auto" w:fill="auto"/>
            <w:noWrap/>
            <w:vAlign w:val="bottom"/>
          </w:tcPr>
          <w:p w14:paraId="0F13DFDE"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087FEFD0" w14:textId="77777777" w:rsidR="0092256C" w:rsidRPr="00DB7E02" w:rsidRDefault="0092256C" w:rsidP="00675836">
            <w:pPr>
              <w:keepNext/>
              <w:widowControl w:val="0"/>
              <w:jc w:val="center"/>
              <w:rPr>
                <w:color w:val="000000"/>
                <w:sz w:val="20"/>
              </w:rPr>
            </w:pPr>
          </w:p>
        </w:tc>
      </w:tr>
      <w:tr w:rsidR="0092256C" w:rsidRPr="00DB7E02" w14:paraId="4905A0F0" w14:textId="77777777" w:rsidTr="0076211B">
        <w:trPr>
          <w:trHeight w:val="167"/>
          <w:jc w:val="center"/>
        </w:trPr>
        <w:tc>
          <w:tcPr>
            <w:tcW w:w="2613" w:type="dxa"/>
            <w:shd w:val="clear" w:color="auto" w:fill="auto"/>
            <w:noWrap/>
            <w:vAlign w:val="bottom"/>
          </w:tcPr>
          <w:p w14:paraId="700EE382" w14:textId="77777777" w:rsidR="0092256C" w:rsidRDefault="0092256C" w:rsidP="00675836">
            <w:pPr>
              <w:keepNext/>
              <w:widowControl w:val="0"/>
              <w:ind w:left="215"/>
              <w:rPr>
                <w:color w:val="000000"/>
                <w:sz w:val="20"/>
              </w:rPr>
            </w:pPr>
            <w:r>
              <w:rPr>
                <w:color w:val="000000"/>
                <w:sz w:val="20"/>
              </w:rPr>
              <w:t>Chi-squared</w:t>
            </w:r>
          </w:p>
        </w:tc>
        <w:tc>
          <w:tcPr>
            <w:tcW w:w="1797" w:type="dxa"/>
            <w:gridSpan w:val="2"/>
            <w:shd w:val="clear" w:color="auto" w:fill="auto"/>
            <w:noWrap/>
            <w:vAlign w:val="bottom"/>
          </w:tcPr>
          <w:p w14:paraId="063AD49C" w14:textId="77777777" w:rsidR="0092256C" w:rsidRDefault="0092256C" w:rsidP="00675836">
            <w:pPr>
              <w:keepNext/>
              <w:widowControl w:val="0"/>
              <w:jc w:val="center"/>
              <w:rPr>
                <w:color w:val="000000"/>
                <w:sz w:val="20"/>
              </w:rPr>
            </w:pPr>
            <w:r>
              <w:rPr>
                <w:color w:val="000000"/>
                <w:sz w:val="20"/>
              </w:rPr>
              <w:t>521</w:t>
            </w:r>
          </w:p>
        </w:tc>
        <w:tc>
          <w:tcPr>
            <w:tcW w:w="1797" w:type="dxa"/>
            <w:shd w:val="clear" w:color="auto" w:fill="auto"/>
            <w:noWrap/>
            <w:vAlign w:val="bottom"/>
          </w:tcPr>
          <w:p w14:paraId="19FB2B2F"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53B45AA0" w14:textId="77777777" w:rsidR="0092256C" w:rsidRPr="00DB7E02" w:rsidRDefault="0092256C" w:rsidP="00675836">
            <w:pPr>
              <w:keepNext/>
              <w:widowControl w:val="0"/>
              <w:jc w:val="center"/>
              <w:rPr>
                <w:color w:val="000000"/>
                <w:sz w:val="20"/>
              </w:rPr>
            </w:pPr>
          </w:p>
        </w:tc>
      </w:tr>
      <w:tr w:rsidR="0092256C" w:rsidRPr="00DB7E02" w14:paraId="08D0DEE3" w14:textId="77777777" w:rsidTr="0076211B">
        <w:trPr>
          <w:trHeight w:val="167"/>
          <w:jc w:val="center"/>
        </w:trPr>
        <w:tc>
          <w:tcPr>
            <w:tcW w:w="2613" w:type="dxa"/>
            <w:shd w:val="clear" w:color="auto" w:fill="auto"/>
            <w:noWrap/>
            <w:vAlign w:val="bottom"/>
          </w:tcPr>
          <w:p w14:paraId="77FBF7D8" w14:textId="77777777" w:rsidR="0092256C" w:rsidRPr="00DB7E02" w:rsidRDefault="0092256C" w:rsidP="00675836">
            <w:pPr>
              <w:keepNext/>
              <w:widowControl w:val="0"/>
              <w:rPr>
                <w:b/>
                <w:bCs/>
                <w:i/>
                <w:color w:val="000000"/>
                <w:sz w:val="20"/>
              </w:rPr>
            </w:pPr>
            <w:r w:rsidRPr="00DB7E02">
              <w:rPr>
                <w:b/>
                <w:bCs/>
                <w:i/>
                <w:color w:val="000000"/>
                <w:sz w:val="20"/>
              </w:rPr>
              <w:t>Model 3</w:t>
            </w:r>
            <w:r>
              <w:rPr>
                <w:b/>
                <w:bCs/>
                <w:i/>
                <w:color w:val="000000"/>
                <w:sz w:val="20"/>
              </w:rPr>
              <w:t xml:space="preserve"> All urban types</w:t>
            </w:r>
          </w:p>
        </w:tc>
        <w:tc>
          <w:tcPr>
            <w:tcW w:w="1797" w:type="dxa"/>
            <w:gridSpan w:val="2"/>
            <w:shd w:val="clear" w:color="auto" w:fill="auto"/>
            <w:noWrap/>
            <w:vAlign w:val="bottom"/>
          </w:tcPr>
          <w:p w14:paraId="185FFF73" w14:textId="77777777" w:rsidR="0092256C" w:rsidRPr="00DB7E02" w:rsidRDefault="0092256C" w:rsidP="00675836">
            <w:pPr>
              <w:keepNext/>
              <w:widowControl w:val="0"/>
              <w:jc w:val="center"/>
              <w:rPr>
                <w:b/>
                <w:bCs/>
                <w:i/>
                <w:color w:val="000000"/>
                <w:sz w:val="20"/>
              </w:rPr>
            </w:pPr>
          </w:p>
        </w:tc>
        <w:tc>
          <w:tcPr>
            <w:tcW w:w="1797" w:type="dxa"/>
            <w:shd w:val="clear" w:color="auto" w:fill="auto"/>
            <w:noWrap/>
            <w:vAlign w:val="bottom"/>
          </w:tcPr>
          <w:p w14:paraId="35D79A7F" w14:textId="77777777" w:rsidR="0092256C" w:rsidRPr="00DB7E02" w:rsidRDefault="0092256C" w:rsidP="00675836">
            <w:pPr>
              <w:keepNext/>
              <w:widowControl w:val="0"/>
              <w:jc w:val="center"/>
              <w:rPr>
                <w:b/>
                <w:bCs/>
                <w:i/>
                <w:color w:val="000000"/>
                <w:sz w:val="20"/>
              </w:rPr>
            </w:pPr>
          </w:p>
        </w:tc>
        <w:tc>
          <w:tcPr>
            <w:tcW w:w="1697" w:type="dxa"/>
            <w:shd w:val="clear" w:color="auto" w:fill="auto"/>
            <w:noWrap/>
            <w:vAlign w:val="center"/>
          </w:tcPr>
          <w:p w14:paraId="2B4ECB10" w14:textId="77777777" w:rsidR="0092256C" w:rsidRPr="00DB7E02" w:rsidRDefault="0092256C" w:rsidP="00675836">
            <w:pPr>
              <w:keepNext/>
              <w:widowControl w:val="0"/>
              <w:jc w:val="center"/>
              <w:rPr>
                <w:i/>
                <w:color w:val="000000"/>
                <w:sz w:val="20"/>
              </w:rPr>
            </w:pPr>
            <w:r w:rsidRPr="00DB7E02">
              <w:rPr>
                <w:color w:val="000000"/>
                <w:sz w:val="20"/>
              </w:rPr>
              <w:t>0.0</w:t>
            </w:r>
            <w:r>
              <w:rPr>
                <w:color w:val="000000"/>
                <w:sz w:val="20"/>
              </w:rPr>
              <w:t>2</w:t>
            </w:r>
          </w:p>
        </w:tc>
      </w:tr>
      <w:tr w:rsidR="0092256C" w:rsidRPr="00DB7E02" w14:paraId="14FD8948" w14:textId="77777777" w:rsidTr="0076211B">
        <w:trPr>
          <w:trHeight w:val="167"/>
          <w:jc w:val="center"/>
        </w:trPr>
        <w:tc>
          <w:tcPr>
            <w:tcW w:w="2613" w:type="dxa"/>
            <w:shd w:val="clear" w:color="auto" w:fill="auto"/>
            <w:noWrap/>
            <w:vAlign w:val="bottom"/>
            <w:hideMark/>
          </w:tcPr>
          <w:p w14:paraId="5003552C" w14:textId="368EEEF5" w:rsidR="0092256C" w:rsidRPr="00DB7E02" w:rsidRDefault="0092256C" w:rsidP="00675836">
            <w:pPr>
              <w:keepNext/>
              <w:widowControl w:val="0"/>
              <w:ind w:left="215"/>
              <w:rPr>
                <w:bCs/>
                <w:color w:val="000000"/>
                <w:sz w:val="20"/>
              </w:rPr>
            </w:pPr>
            <w:r>
              <w:rPr>
                <w:bCs/>
                <w:color w:val="000000"/>
                <w:sz w:val="20"/>
              </w:rPr>
              <w:t>PIEbg</w:t>
            </w:r>
            <w:r w:rsidR="00C15A10">
              <w:rPr>
                <w:bCs/>
                <w:color w:val="000000"/>
                <w:sz w:val="20"/>
              </w:rPr>
              <w:t xml:space="preserve"> (20-100)</w:t>
            </w:r>
          </w:p>
        </w:tc>
        <w:tc>
          <w:tcPr>
            <w:tcW w:w="1797" w:type="dxa"/>
            <w:gridSpan w:val="2"/>
            <w:shd w:val="clear" w:color="auto" w:fill="auto"/>
            <w:noWrap/>
            <w:vAlign w:val="bottom"/>
            <w:hideMark/>
          </w:tcPr>
          <w:p w14:paraId="2AE7675B" w14:textId="77777777" w:rsidR="0092256C" w:rsidRPr="00DB7E02" w:rsidRDefault="0092256C" w:rsidP="00675836">
            <w:pPr>
              <w:keepNext/>
              <w:widowControl w:val="0"/>
              <w:jc w:val="center"/>
              <w:rPr>
                <w:bCs/>
                <w:color w:val="000000"/>
                <w:sz w:val="20"/>
              </w:rPr>
            </w:pPr>
            <w:r>
              <w:rPr>
                <w:bCs/>
                <w:color w:val="000000"/>
                <w:sz w:val="20"/>
              </w:rPr>
              <w:t>0.036</w:t>
            </w:r>
          </w:p>
        </w:tc>
        <w:tc>
          <w:tcPr>
            <w:tcW w:w="1797" w:type="dxa"/>
            <w:shd w:val="clear" w:color="auto" w:fill="auto"/>
            <w:noWrap/>
            <w:vAlign w:val="bottom"/>
            <w:hideMark/>
          </w:tcPr>
          <w:p w14:paraId="0A74D6E4" w14:textId="77777777" w:rsidR="0092256C" w:rsidRPr="00DB7E02" w:rsidRDefault="0092256C" w:rsidP="00675836">
            <w:pPr>
              <w:keepNext/>
              <w:widowControl w:val="0"/>
              <w:jc w:val="center"/>
              <w:rPr>
                <w:bCs/>
                <w:color w:val="000000"/>
                <w:sz w:val="20"/>
              </w:rPr>
            </w:pPr>
            <w:r w:rsidRPr="00DB7E02">
              <w:rPr>
                <w:bCs/>
                <w:color w:val="000000"/>
                <w:sz w:val="20"/>
              </w:rPr>
              <w:t>0.00</w:t>
            </w:r>
          </w:p>
        </w:tc>
        <w:tc>
          <w:tcPr>
            <w:tcW w:w="1697" w:type="dxa"/>
            <w:vMerge w:val="restart"/>
            <w:shd w:val="clear" w:color="auto" w:fill="auto"/>
            <w:noWrap/>
            <w:vAlign w:val="center"/>
            <w:hideMark/>
          </w:tcPr>
          <w:p w14:paraId="3F64B195" w14:textId="77777777" w:rsidR="0092256C" w:rsidRPr="00DB7E02" w:rsidRDefault="0092256C" w:rsidP="00675836">
            <w:pPr>
              <w:keepNext/>
              <w:widowControl w:val="0"/>
              <w:jc w:val="center"/>
              <w:rPr>
                <w:color w:val="000000"/>
                <w:sz w:val="20"/>
              </w:rPr>
            </w:pPr>
          </w:p>
        </w:tc>
      </w:tr>
      <w:tr w:rsidR="0092256C" w:rsidRPr="00DB7E02" w14:paraId="0330D7BC" w14:textId="77777777" w:rsidTr="0076211B">
        <w:trPr>
          <w:trHeight w:val="167"/>
          <w:jc w:val="center"/>
        </w:trPr>
        <w:tc>
          <w:tcPr>
            <w:tcW w:w="2613" w:type="dxa"/>
            <w:shd w:val="clear" w:color="auto" w:fill="auto"/>
            <w:noWrap/>
            <w:vAlign w:val="bottom"/>
            <w:hideMark/>
          </w:tcPr>
          <w:p w14:paraId="5D885510" w14:textId="77777777" w:rsidR="0092256C" w:rsidRPr="00DB7E02" w:rsidRDefault="0092256C" w:rsidP="00675836">
            <w:pPr>
              <w:keepNext/>
              <w:widowControl w:val="0"/>
              <w:ind w:left="215"/>
              <w:rPr>
                <w:color w:val="000000"/>
                <w:sz w:val="20"/>
              </w:rPr>
            </w:pPr>
            <w:r w:rsidRPr="00DB7E02">
              <w:rPr>
                <w:color w:val="000000"/>
                <w:sz w:val="20"/>
              </w:rPr>
              <w:t>Constant</w:t>
            </w:r>
          </w:p>
        </w:tc>
        <w:tc>
          <w:tcPr>
            <w:tcW w:w="1797" w:type="dxa"/>
            <w:gridSpan w:val="2"/>
            <w:shd w:val="clear" w:color="auto" w:fill="auto"/>
            <w:noWrap/>
            <w:vAlign w:val="bottom"/>
            <w:hideMark/>
          </w:tcPr>
          <w:p w14:paraId="523432B5" w14:textId="77777777" w:rsidR="0092256C" w:rsidRPr="00DB7E02" w:rsidRDefault="0092256C" w:rsidP="00675836">
            <w:pPr>
              <w:keepNext/>
              <w:widowControl w:val="0"/>
              <w:jc w:val="center"/>
              <w:rPr>
                <w:color w:val="000000"/>
                <w:sz w:val="20"/>
              </w:rPr>
            </w:pPr>
            <w:r>
              <w:rPr>
                <w:color w:val="000000"/>
                <w:sz w:val="20"/>
              </w:rPr>
              <w:t>-3.56</w:t>
            </w:r>
          </w:p>
        </w:tc>
        <w:tc>
          <w:tcPr>
            <w:tcW w:w="1797" w:type="dxa"/>
            <w:shd w:val="clear" w:color="auto" w:fill="auto"/>
            <w:noWrap/>
            <w:vAlign w:val="bottom"/>
            <w:hideMark/>
          </w:tcPr>
          <w:p w14:paraId="378A392C" w14:textId="77777777" w:rsidR="0092256C" w:rsidRPr="00DB7E02" w:rsidRDefault="0092256C" w:rsidP="00675836">
            <w:pPr>
              <w:keepNext/>
              <w:widowControl w:val="0"/>
              <w:jc w:val="center"/>
              <w:rPr>
                <w:color w:val="000000"/>
                <w:sz w:val="20"/>
              </w:rPr>
            </w:pPr>
            <w:r w:rsidRPr="00DB7E02">
              <w:rPr>
                <w:color w:val="000000"/>
                <w:sz w:val="20"/>
              </w:rPr>
              <w:t>0.00</w:t>
            </w:r>
          </w:p>
        </w:tc>
        <w:tc>
          <w:tcPr>
            <w:tcW w:w="1697" w:type="dxa"/>
            <w:vMerge/>
            <w:shd w:val="clear" w:color="auto" w:fill="auto"/>
            <w:vAlign w:val="center"/>
            <w:hideMark/>
          </w:tcPr>
          <w:p w14:paraId="4CC02AA5" w14:textId="77777777" w:rsidR="0092256C" w:rsidRPr="00DB7E02" w:rsidRDefault="0092256C" w:rsidP="00675836">
            <w:pPr>
              <w:keepNext/>
              <w:widowControl w:val="0"/>
              <w:jc w:val="center"/>
              <w:rPr>
                <w:color w:val="000000"/>
                <w:sz w:val="20"/>
              </w:rPr>
            </w:pPr>
          </w:p>
        </w:tc>
      </w:tr>
      <w:tr w:rsidR="0092256C" w:rsidRPr="00DB7E02" w14:paraId="4F8BC865" w14:textId="77777777" w:rsidTr="0076211B">
        <w:trPr>
          <w:trHeight w:val="167"/>
          <w:jc w:val="center"/>
        </w:trPr>
        <w:tc>
          <w:tcPr>
            <w:tcW w:w="2613" w:type="dxa"/>
            <w:shd w:val="clear" w:color="auto" w:fill="auto"/>
            <w:noWrap/>
            <w:vAlign w:val="bottom"/>
          </w:tcPr>
          <w:p w14:paraId="03D0E7F8" w14:textId="77777777" w:rsidR="0092256C" w:rsidRPr="00DB7E02" w:rsidRDefault="0092256C" w:rsidP="00675836">
            <w:pPr>
              <w:keepNext/>
              <w:widowControl w:val="0"/>
              <w:ind w:left="215"/>
              <w:rPr>
                <w:color w:val="000000"/>
                <w:sz w:val="20"/>
              </w:rPr>
            </w:pPr>
            <w:r>
              <w:rPr>
                <w:color w:val="000000"/>
                <w:sz w:val="20"/>
              </w:rPr>
              <w:t>Log-Likelihood</w:t>
            </w:r>
          </w:p>
        </w:tc>
        <w:tc>
          <w:tcPr>
            <w:tcW w:w="1797" w:type="dxa"/>
            <w:gridSpan w:val="2"/>
            <w:shd w:val="clear" w:color="auto" w:fill="auto"/>
            <w:noWrap/>
            <w:vAlign w:val="bottom"/>
          </w:tcPr>
          <w:p w14:paraId="005FD012" w14:textId="77777777" w:rsidR="0092256C" w:rsidRPr="00DB7E02" w:rsidRDefault="0092256C" w:rsidP="00675836">
            <w:pPr>
              <w:keepNext/>
              <w:widowControl w:val="0"/>
              <w:jc w:val="center"/>
              <w:rPr>
                <w:color w:val="000000"/>
                <w:sz w:val="20"/>
              </w:rPr>
            </w:pPr>
            <w:r>
              <w:rPr>
                <w:color w:val="000000"/>
                <w:sz w:val="20"/>
              </w:rPr>
              <w:t>-12489</w:t>
            </w:r>
          </w:p>
        </w:tc>
        <w:tc>
          <w:tcPr>
            <w:tcW w:w="1797" w:type="dxa"/>
            <w:shd w:val="clear" w:color="auto" w:fill="auto"/>
            <w:noWrap/>
            <w:vAlign w:val="bottom"/>
          </w:tcPr>
          <w:p w14:paraId="76BDE4C5"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6DFE4AE3" w14:textId="77777777" w:rsidR="0092256C" w:rsidRPr="00DB7E02" w:rsidRDefault="0092256C" w:rsidP="00675836">
            <w:pPr>
              <w:keepNext/>
              <w:widowControl w:val="0"/>
              <w:jc w:val="center"/>
              <w:rPr>
                <w:color w:val="000000"/>
                <w:sz w:val="20"/>
              </w:rPr>
            </w:pPr>
          </w:p>
        </w:tc>
      </w:tr>
      <w:tr w:rsidR="0092256C" w:rsidRPr="00DB7E02" w14:paraId="37C2365A" w14:textId="77777777" w:rsidTr="0076211B">
        <w:trPr>
          <w:trHeight w:val="167"/>
          <w:jc w:val="center"/>
        </w:trPr>
        <w:tc>
          <w:tcPr>
            <w:tcW w:w="2613" w:type="dxa"/>
            <w:shd w:val="clear" w:color="auto" w:fill="auto"/>
            <w:noWrap/>
            <w:vAlign w:val="bottom"/>
          </w:tcPr>
          <w:p w14:paraId="4093B41E" w14:textId="77777777" w:rsidR="0092256C" w:rsidRPr="00DB7E02" w:rsidRDefault="0092256C" w:rsidP="00675836">
            <w:pPr>
              <w:keepNext/>
              <w:widowControl w:val="0"/>
              <w:ind w:left="215"/>
              <w:rPr>
                <w:color w:val="000000"/>
                <w:sz w:val="20"/>
              </w:rPr>
            </w:pPr>
            <w:r>
              <w:rPr>
                <w:color w:val="000000"/>
                <w:sz w:val="20"/>
              </w:rPr>
              <w:t>Chi-squared</w:t>
            </w:r>
          </w:p>
        </w:tc>
        <w:tc>
          <w:tcPr>
            <w:tcW w:w="1797" w:type="dxa"/>
            <w:gridSpan w:val="2"/>
            <w:shd w:val="clear" w:color="auto" w:fill="auto"/>
            <w:noWrap/>
            <w:vAlign w:val="bottom"/>
          </w:tcPr>
          <w:p w14:paraId="7D71AC2D" w14:textId="77777777" w:rsidR="0092256C" w:rsidRPr="00DB7E02" w:rsidRDefault="0092256C" w:rsidP="00675836">
            <w:pPr>
              <w:keepNext/>
              <w:widowControl w:val="0"/>
              <w:jc w:val="center"/>
              <w:rPr>
                <w:color w:val="000000"/>
                <w:sz w:val="20"/>
              </w:rPr>
            </w:pPr>
            <w:r>
              <w:rPr>
                <w:color w:val="000000"/>
                <w:sz w:val="20"/>
              </w:rPr>
              <w:t>1060</w:t>
            </w:r>
          </w:p>
        </w:tc>
        <w:tc>
          <w:tcPr>
            <w:tcW w:w="1797" w:type="dxa"/>
            <w:shd w:val="clear" w:color="auto" w:fill="auto"/>
            <w:noWrap/>
            <w:vAlign w:val="bottom"/>
          </w:tcPr>
          <w:p w14:paraId="0CE72CEB" w14:textId="77777777" w:rsidR="0092256C" w:rsidRPr="00DB7E02" w:rsidRDefault="0092256C" w:rsidP="00675836">
            <w:pPr>
              <w:keepNext/>
              <w:widowControl w:val="0"/>
              <w:jc w:val="center"/>
              <w:rPr>
                <w:color w:val="000000"/>
                <w:sz w:val="20"/>
              </w:rPr>
            </w:pPr>
          </w:p>
        </w:tc>
        <w:tc>
          <w:tcPr>
            <w:tcW w:w="1697" w:type="dxa"/>
            <w:shd w:val="clear" w:color="auto" w:fill="auto"/>
            <w:vAlign w:val="center"/>
          </w:tcPr>
          <w:p w14:paraId="1BB2DC82" w14:textId="77777777" w:rsidR="0092256C" w:rsidRPr="00DB7E02" w:rsidRDefault="0092256C" w:rsidP="00675836">
            <w:pPr>
              <w:keepNext/>
              <w:widowControl w:val="0"/>
              <w:jc w:val="center"/>
              <w:rPr>
                <w:color w:val="000000"/>
                <w:sz w:val="20"/>
              </w:rPr>
            </w:pPr>
          </w:p>
        </w:tc>
      </w:tr>
      <w:tr w:rsidR="0092256C" w:rsidRPr="00DB7E02" w14:paraId="3D694E1F" w14:textId="77777777" w:rsidTr="0076211B">
        <w:trPr>
          <w:trHeight w:val="167"/>
          <w:jc w:val="center"/>
        </w:trPr>
        <w:tc>
          <w:tcPr>
            <w:tcW w:w="2613" w:type="dxa"/>
            <w:shd w:val="clear" w:color="auto" w:fill="auto"/>
            <w:noWrap/>
            <w:vAlign w:val="bottom"/>
          </w:tcPr>
          <w:p w14:paraId="30ABED58" w14:textId="77777777" w:rsidR="0092256C" w:rsidRDefault="0092256C" w:rsidP="00675836">
            <w:pPr>
              <w:keepNext/>
              <w:widowControl w:val="0"/>
              <w:rPr>
                <w:color w:val="000000"/>
                <w:sz w:val="20"/>
              </w:rPr>
            </w:pPr>
            <w:r>
              <w:rPr>
                <w:color w:val="000000"/>
                <w:sz w:val="20"/>
              </w:rPr>
              <w:t>Log-Likelihood ratio test segmentation of the model</w:t>
            </w:r>
          </w:p>
        </w:tc>
        <w:tc>
          <w:tcPr>
            <w:tcW w:w="1797" w:type="dxa"/>
            <w:gridSpan w:val="2"/>
            <w:shd w:val="clear" w:color="auto" w:fill="auto"/>
            <w:noWrap/>
            <w:vAlign w:val="bottom"/>
          </w:tcPr>
          <w:p w14:paraId="4EBD09DB" w14:textId="77777777" w:rsidR="0092256C" w:rsidRDefault="0092256C" w:rsidP="00675836">
            <w:pPr>
              <w:keepNext/>
              <w:widowControl w:val="0"/>
              <w:jc w:val="center"/>
              <w:rPr>
                <w:color w:val="000000"/>
                <w:sz w:val="20"/>
              </w:rPr>
            </w:pPr>
          </w:p>
        </w:tc>
        <w:tc>
          <w:tcPr>
            <w:tcW w:w="1797" w:type="dxa"/>
            <w:shd w:val="clear" w:color="auto" w:fill="auto"/>
            <w:noWrap/>
            <w:vAlign w:val="bottom"/>
          </w:tcPr>
          <w:p w14:paraId="452FFBF0" w14:textId="77777777" w:rsidR="0092256C" w:rsidRPr="00DB7E02" w:rsidRDefault="0092256C" w:rsidP="00675836">
            <w:pPr>
              <w:keepNext/>
              <w:widowControl w:val="0"/>
              <w:jc w:val="center"/>
              <w:rPr>
                <w:color w:val="000000"/>
                <w:sz w:val="20"/>
              </w:rPr>
            </w:pPr>
            <w:r>
              <w:rPr>
                <w:color w:val="000000"/>
                <w:sz w:val="20"/>
              </w:rPr>
              <w:t>0.00</w:t>
            </w:r>
          </w:p>
        </w:tc>
        <w:tc>
          <w:tcPr>
            <w:tcW w:w="1697" w:type="dxa"/>
            <w:shd w:val="clear" w:color="auto" w:fill="auto"/>
            <w:vAlign w:val="center"/>
          </w:tcPr>
          <w:p w14:paraId="5CE0F6CF" w14:textId="77777777" w:rsidR="0092256C" w:rsidRPr="00DB7E02" w:rsidRDefault="0092256C" w:rsidP="00675836">
            <w:pPr>
              <w:keepNext/>
              <w:widowControl w:val="0"/>
              <w:jc w:val="center"/>
              <w:rPr>
                <w:color w:val="000000"/>
                <w:sz w:val="20"/>
              </w:rPr>
            </w:pPr>
          </w:p>
        </w:tc>
      </w:tr>
      <w:tr w:rsidR="0092256C" w:rsidRPr="00DB7E02" w14:paraId="32B22ACC" w14:textId="77777777" w:rsidTr="0076211B">
        <w:trPr>
          <w:trHeight w:val="167"/>
          <w:jc w:val="center"/>
        </w:trPr>
        <w:tc>
          <w:tcPr>
            <w:tcW w:w="7905" w:type="dxa"/>
            <w:gridSpan w:val="5"/>
            <w:tcBorders>
              <w:top w:val="single" w:sz="4" w:space="0" w:color="auto"/>
              <w:bottom w:val="single" w:sz="4" w:space="0" w:color="auto"/>
            </w:tcBorders>
            <w:shd w:val="clear" w:color="auto" w:fill="auto"/>
            <w:noWrap/>
            <w:vAlign w:val="bottom"/>
          </w:tcPr>
          <w:p w14:paraId="0BE6DCD2" w14:textId="77777777" w:rsidR="0092256C" w:rsidRPr="00DB7E02" w:rsidRDefault="0092256C" w:rsidP="00675836">
            <w:pPr>
              <w:keepNext/>
              <w:widowControl w:val="0"/>
              <w:jc w:val="center"/>
              <w:rPr>
                <w:color w:val="000000"/>
                <w:sz w:val="20"/>
              </w:rPr>
            </w:pPr>
            <w:r w:rsidRPr="00DB7E02">
              <w:rPr>
                <w:b/>
                <w:bCs/>
                <w:color w:val="000000"/>
                <w:sz w:val="20"/>
              </w:rPr>
              <w:t>Data used for all models</w:t>
            </w:r>
          </w:p>
        </w:tc>
      </w:tr>
      <w:tr w:rsidR="002406F0" w:rsidRPr="00DB7E02" w14:paraId="027C6603" w14:textId="77777777" w:rsidTr="0076211B">
        <w:trPr>
          <w:trHeight w:val="167"/>
          <w:jc w:val="center"/>
        </w:trPr>
        <w:tc>
          <w:tcPr>
            <w:tcW w:w="2712" w:type="dxa"/>
            <w:gridSpan w:val="2"/>
            <w:tcBorders>
              <w:top w:val="single" w:sz="4" w:space="0" w:color="auto"/>
            </w:tcBorders>
            <w:shd w:val="clear" w:color="auto" w:fill="auto"/>
            <w:noWrap/>
            <w:vAlign w:val="bottom"/>
            <w:hideMark/>
          </w:tcPr>
          <w:p w14:paraId="7820AB06" w14:textId="37F216F8" w:rsidR="002406F0" w:rsidRPr="00DB7E02" w:rsidRDefault="002406F0" w:rsidP="002406F0">
            <w:pPr>
              <w:keepNext/>
              <w:widowControl w:val="0"/>
              <w:rPr>
                <w:bCs/>
                <w:color w:val="000000"/>
                <w:sz w:val="20"/>
              </w:rPr>
            </w:pPr>
            <w:r w:rsidRPr="00DB7E02">
              <w:rPr>
                <w:bCs/>
                <w:color w:val="000000"/>
                <w:sz w:val="20"/>
              </w:rPr>
              <w:t>Trips (n)</w:t>
            </w:r>
            <w:r>
              <w:rPr>
                <w:bCs/>
                <w:color w:val="000000"/>
                <w:sz w:val="20"/>
              </w:rPr>
              <w:t xml:space="preserve"> – all urban types</w:t>
            </w:r>
          </w:p>
        </w:tc>
        <w:tc>
          <w:tcPr>
            <w:tcW w:w="5193" w:type="dxa"/>
            <w:gridSpan w:val="3"/>
            <w:tcBorders>
              <w:top w:val="single" w:sz="4" w:space="0" w:color="auto"/>
            </w:tcBorders>
            <w:shd w:val="clear" w:color="auto" w:fill="auto"/>
            <w:noWrap/>
            <w:vAlign w:val="bottom"/>
            <w:hideMark/>
          </w:tcPr>
          <w:p w14:paraId="184DF9FF" w14:textId="78EB6D55" w:rsidR="002406F0" w:rsidRPr="00DB7E02" w:rsidRDefault="002406F0" w:rsidP="002406F0">
            <w:pPr>
              <w:keepNext/>
              <w:widowControl w:val="0"/>
              <w:ind w:right="3544"/>
              <w:jc w:val="right"/>
              <w:rPr>
                <w:bCs/>
                <w:color w:val="000000"/>
                <w:sz w:val="20"/>
              </w:rPr>
            </w:pPr>
            <w:r>
              <w:rPr>
                <w:bCs/>
                <w:color w:val="000000"/>
                <w:sz w:val="20"/>
              </w:rPr>
              <w:t>41,316</w:t>
            </w:r>
          </w:p>
        </w:tc>
      </w:tr>
      <w:tr w:rsidR="002406F0" w:rsidRPr="00DB7E02" w14:paraId="7D3DA8D2" w14:textId="77777777" w:rsidTr="0076211B">
        <w:trPr>
          <w:trHeight w:val="167"/>
          <w:jc w:val="center"/>
        </w:trPr>
        <w:tc>
          <w:tcPr>
            <w:tcW w:w="2712" w:type="dxa"/>
            <w:gridSpan w:val="2"/>
            <w:shd w:val="clear" w:color="auto" w:fill="auto"/>
            <w:noWrap/>
            <w:vAlign w:val="bottom"/>
            <w:hideMark/>
          </w:tcPr>
          <w:p w14:paraId="7962214E" w14:textId="55CF77B9" w:rsidR="002406F0" w:rsidRPr="00DB7E02" w:rsidRDefault="002406F0" w:rsidP="002406F0">
            <w:pPr>
              <w:keepNext/>
              <w:widowControl w:val="0"/>
              <w:rPr>
                <w:color w:val="000000"/>
                <w:sz w:val="20"/>
              </w:rPr>
            </w:pPr>
            <w:r w:rsidRPr="00DB7E02">
              <w:rPr>
                <w:color w:val="000000"/>
                <w:sz w:val="20"/>
              </w:rPr>
              <w:t>Walk</w:t>
            </w:r>
          </w:p>
        </w:tc>
        <w:tc>
          <w:tcPr>
            <w:tcW w:w="5193" w:type="dxa"/>
            <w:gridSpan w:val="3"/>
            <w:shd w:val="clear" w:color="auto" w:fill="auto"/>
            <w:noWrap/>
            <w:vAlign w:val="bottom"/>
            <w:hideMark/>
          </w:tcPr>
          <w:p w14:paraId="44A4B196" w14:textId="5154FFEE" w:rsidR="002406F0" w:rsidRPr="00DB7E02" w:rsidRDefault="002406F0" w:rsidP="002406F0">
            <w:pPr>
              <w:keepNext/>
              <w:widowControl w:val="0"/>
              <w:ind w:right="3544"/>
              <w:jc w:val="right"/>
              <w:rPr>
                <w:color w:val="000000"/>
                <w:sz w:val="20"/>
              </w:rPr>
            </w:pPr>
            <w:r>
              <w:rPr>
                <w:color w:val="000000"/>
                <w:sz w:val="20"/>
              </w:rPr>
              <w:t>3,946</w:t>
            </w:r>
          </w:p>
        </w:tc>
      </w:tr>
      <w:tr w:rsidR="002406F0" w:rsidRPr="00DB7E02" w14:paraId="2D4FDE48" w14:textId="77777777" w:rsidTr="0076211B">
        <w:trPr>
          <w:trHeight w:val="167"/>
          <w:jc w:val="center"/>
        </w:trPr>
        <w:tc>
          <w:tcPr>
            <w:tcW w:w="2712" w:type="dxa"/>
            <w:gridSpan w:val="2"/>
            <w:tcBorders>
              <w:bottom w:val="single" w:sz="4" w:space="0" w:color="auto"/>
            </w:tcBorders>
            <w:shd w:val="clear" w:color="auto" w:fill="auto"/>
            <w:noWrap/>
            <w:vAlign w:val="bottom"/>
            <w:hideMark/>
          </w:tcPr>
          <w:p w14:paraId="41827E9E" w14:textId="0B91CF2F" w:rsidR="002406F0" w:rsidRPr="00DB7E02" w:rsidRDefault="002406F0" w:rsidP="002406F0">
            <w:pPr>
              <w:rPr>
                <w:color w:val="000000"/>
                <w:sz w:val="20"/>
              </w:rPr>
            </w:pPr>
            <w:r w:rsidRPr="00DB7E02">
              <w:rPr>
                <w:color w:val="000000"/>
                <w:sz w:val="20"/>
              </w:rPr>
              <w:t>Not Walk</w:t>
            </w:r>
          </w:p>
        </w:tc>
        <w:tc>
          <w:tcPr>
            <w:tcW w:w="5193" w:type="dxa"/>
            <w:gridSpan w:val="3"/>
            <w:tcBorders>
              <w:bottom w:val="single" w:sz="4" w:space="0" w:color="auto"/>
            </w:tcBorders>
            <w:shd w:val="clear" w:color="auto" w:fill="auto"/>
            <w:noWrap/>
            <w:vAlign w:val="bottom"/>
            <w:hideMark/>
          </w:tcPr>
          <w:p w14:paraId="464056D4" w14:textId="0C437ABA" w:rsidR="002406F0" w:rsidRPr="00DB7E02" w:rsidRDefault="002406F0" w:rsidP="002406F0">
            <w:pPr>
              <w:ind w:right="3544"/>
              <w:jc w:val="right"/>
              <w:rPr>
                <w:color w:val="000000"/>
                <w:sz w:val="20"/>
              </w:rPr>
            </w:pPr>
            <w:r>
              <w:rPr>
                <w:color w:val="000000"/>
                <w:sz w:val="20"/>
              </w:rPr>
              <w:t>37,370</w:t>
            </w:r>
          </w:p>
        </w:tc>
      </w:tr>
      <w:tr w:rsidR="002406F0" w:rsidRPr="00DB7E02" w14:paraId="3A559062" w14:textId="77777777" w:rsidTr="0076211B">
        <w:trPr>
          <w:trHeight w:val="167"/>
          <w:jc w:val="center"/>
        </w:trPr>
        <w:tc>
          <w:tcPr>
            <w:tcW w:w="2712" w:type="dxa"/>
            <w:gridSpan w:val="2"/>
            <w:tcBorders>
              <w:top w:val="single" w:sz="4" w:space="0" w:color="auto"/>
            </w:tcBorders>
            <w:shd w:val="clear" w:color="auto" w:fill="auto"/>
            <w:noWrap/>
            <w:vAlign w:val="bottom"/>
          </w:tcPr>
          <w:p w14:paraId="405C8830" w14:textId="1DF0598D" w:rsidR="002406F0" w:rsidRPr="00DB7E02" w:rsidRDefault="002406F0" w:rsidP="002406F0">
            <w:pPr>
              <w:rPr>
                <w:color w:val="000000"/>
                <w:sz w:val="20"/>
              </w:rPr>
            </w:pPr>
            <w:r w:rsidRPr="00DB7E02">
              <w:rPr>
                <w:bCs/>
                <w:color w:val="000000"/>
                <w:sz w:val="20"/>
              </w:rPr>
              <w:t>Trips (n)</w:t>
            </w:r>
            <w:r>
              <w:rPr>
                <w:bCs/>
                <w:color w:val="000000"/>
                <w:sz w:val="20"/>
              </w:rPr>
              <w:t xml:space="preserve"> – urban</w:t>
            </w:r>
          </w:p>
        </w:tc>
        <w:tc>
          <w:tcPr>
            <w:tcW w:w="5193" w:type="dxa"/>
            <w:gridSpan w:val="3"/>
            <w:tcBorders>
              <w:top w:val="single" w:sz="4" w:space="0" w:color="auto"/>
            </w:tcBorders>
            <w:shd w:val="clear" w:color="auto" w:fill="auto"/>
            <w:noWrap/>
            <w:vAlign w:val="bottom"/>
          </w:tcPr>
          <w:p w14:paraId="38E167BD" w14:textId="47CB2BC2" w:rsidR="002406F0" w:rsidRDefault="002406F0" w:rsidP="002406F0">
            <w:pPr>
              <w:ind w:right="3544"/>
              <w:jc w:val="right"/>
              <w:rPr>
                <w:color w:val="000000"/>
                <w:sz w:val="20"/>
              </w:rPr>
            </w:pPr>
            <w:r>
              <w:rPr>
                <w:bCs/>
                <w:color w:val="000000"/>
                <w:sz w:val="20"/>
              </w:rPr>
              <w:t>6,350</w:t>
            </w:r>
          </w:p>
        </w:tc>
      </w:tr>
      <w:tr w:rsidR="002406F0" w:rsidRPr="00DB7E02" w14:paraId="7D636DFC" w14:textId="77777777" w:rsidTr="0076211B">
        <w:trPr>
          <w:trHeight w:val="167"/>
          <w:jc w:val="center"/>
        </w:trPr>
        <w:tc>
          <w:tcPr>
            <w:tcW w:w="2712" w:type="dxa"/>
            <w:gridSpan w:val="2"/>
            <w:shd w:val="clear" w:color="auto" w:fill="auto"/>
            <w:noWrap/>
            <w:vAlign w:val="bottom"/>
          </w:tcPr>
          <w:p w14:paraId="7F90C774" w14:textId="1AC12858" w:rsidR="002406F0" w:rsidRPr="00DB7E02" w:rsidRDefault="002406F0" w:rsidP="002406F0">
            <w:pPr>
              <w:rPr>
                <w:color w:val="000000"/>
                <w:sz w:val="20"/>
              </w:rPr>
            </w:pPr>
            <w:r w:rsidRPr="00DB7E02">
              <w:rPr>
                <w:color w:val="000000"/>
                <w:sz w:val="20"/>
              </w:rPr>
              <w:t>Walk</w:t>
            </w:r>
          </w:p>
        </w:tc>
        <w:tc>
          <w:tcPr>
            <w:tcW w:w="5193" w:type="dxa"/>
            <w:gridSpan w:val="3"/>
            <w:shd w:val="clear" w:color="auto" w:fill="auto"/>
            <w:noWrap/>
            <w:vAlign w:val="bottom"/>
          </w:tcPr>
          <w:p w14:paraId="7040B4C2" w14:textId="4BD45969" w:rsidR="002406F0" w:rsidRDefault="002406F0" w:rsidP="002406F0">
            <w:pPr>
              <w:ind w:right="3544"/>
              <w:jc w:val="right"/>
              <w:rPr>
                <w:color w:val="000000"/>
                <w:sz w:val="20"/>
              </w:rPr>
            </w:pPr>
            <w:r>
              <w:rPr>
                <w:color w:val="000000"/>
                <w:sz w:val="20"/>
              </w:rPr>
              <w:t>1,199</w:t>
            </w:r>
          </w:p>
        </w:tc>
      </w:tr>
      <w:tr w:rsidR="002406F0" w:rsidRPr="00DB7E02" w14:paraId="679E562A" w14:textId="77777777" w:rsidTr="0076211B">
        <w:trPr>
          <w:trHeight w:val="167"/>
          <w:jc w:val="center"/>
        </w:trPr>
        <w:tc>
          <w:tcPr>
            <w:tcW w:w="2712" w:type="dxa"/>
            <w:gridSpan w:val="2"/>
            <w:tcBorders>
              <w:bottom w:val="single" w:sz="4" w:space="0" w:color="auto"/>
            </w:tcBorders>
            <w:shd w:val="clear" w:color="auto" w:fill="auto"/>
            <w:noWrap/>
            <w:vAlign w:val="bottom"/>
          </w:tcPr>
          <w:p w14:paraId="52398A2F" w14:textId="43EB5219" w:rsidR="002406F0" w:rsidRPr="00DB7E02" w:rsidRDefault="002406F0" w:rsidP="002406F0">
            <w:pPr>
              <w:rPr>
                <w:color w:val="000000"/>
                <w:sz w:val="20"/>
              </w:rPr>
            </w:pPr>
            <w:r w:rsidRPr="00DB7E02">
              <w:rPr>
                <w:color w:val="000000"/>
                <w:sz w:val="20"/>
              </w:rPr>
              <w:t>Not Walk</w:t>
            </w:r>
          </w:p>
        </w:tc>
        <w:tc>
          <w:tcPr>
            <w:tcW w:w="5193" w:type="dxa"/>
            <w:gridSpan w:val="3"/>
            <w:tcBorders>
              <w:bottom w:val="single" w:sz="4" w:space="0" w:color="auto"/>
            </w:tcBorders>
            <w:shd w:val="clear" w:color="auto" w:fill="auto"/>
            <w:noWrap/>
            <w:vAlign w:val="bottom"/>
          </w:tcPr>
          <w:p w14:paraId="04771647" w14:textId="5D32A3B0" w:rsidR="002406F0" w:rsidRDefault="002406F0" w:rsidP="002406F0">
            <w:pPr>
              <w:ind w:right="3544"/>
              <w:jc w:val="right"/>
              <w:rPr>
                <w:color w:val="000000"/>
                <w:sz w:val="20"/>
              </w:rPr>
            </w:pPr>
            <w:r>
              <w:rPr>
                <w:color w:val="000000"/>
                <w:sz w:val="20"/>
              </w:rPr>
              <w:t>5,151</w:t>
            </w:r>
          </w:p>
        </w:tc>
      </w:tr>
      <w:tr w:rsidR="002406F0" w:rsidRPr="00DB7E02" w14:paraId="1A679CF0" w14:textId="77777777" w:rsidTr="0076211B">
        <w:trPr>
          <w:trHeight w:val="167"/>
          <w:jc w:val="center"/>
        </w:trPr>
        <w:tc>
          <w:tcPr>
            <w:tcW w:w="2712" w:type="dxa"/>
            <w:gridSpan w:val="2"/>
            <w:tcBorders>
              <w:top w:val="single" w:sz="4" w:space="0" w:color="auto"/>
            </w:tcBorders>
            <w:shd w:val="clear" w:color="auto" w:fill="auto"/>
            <w:noWrap/>
            <w:vAlign w:val="bottom"/>
          </w:tcPr>
          <w:p w14:paraId="50635876" w14:textId="72C599A0" w:rsidR="002406F0" w:rsidRPr="00DB7E02" w:rsidRDefault="002406F0" w:rsidP="002406F0">
            <w:pPr>
              <w:rPr>
                <w:color w:val="000000"/>
                <w:sz w:val="20"/>
              </w:rPr>
            </w:pPr>
            <w:r w:rsidRPr="00DB7E02">
              <w:rPr>
                <w:bCs/>
                <w:color w:val="000000"/>
                <w:sz w:val="20"/>
              </w:rPr>
              <w:t>Trips (n)</w:t>
            </w:r>
            <w:r>
              <w:rPr>
                <w:bCs/>
                <w:color w:val="000000"/>
                <w:sz w:val="20"/>
              </w:rPr>
              <w:t xml:space="preserve"> – suburban</w:t>
            </w:r>
          </w:p>
        </w:tc>
        <w:tc>
          <w:tcPr>
            <w:tcW w:w="5193" w:type="dxa"/>
            <w:gridSpan w:val="3"/>
            <w:tcBorders>
              <w:top w:val="single" w:sz="4" w:space="0" w:color="auto"/>
            </w:tcBorders>
            <w:shd w:val="clear" w:color="auto" w:fill="auto"/>
            <w:noWrap/>
            <w:vAlign w:val="bottom"/>
          </w:tcPr>
          <w:p w14:paraId="0E457A0A" w14:textId="454E0827" w:rsidR="002406F0" w:rsidRDefault="002406F0" w:rsidP="002406F0">
            <w:pPr>
              <w:ind w:right="3544"/>
              <w:jc w:val="right"/>
              <w:rPr>
                <w:color w:val="000000"/>
                <w:sz w:val="20"/>
              </w:rPr>
            </w:pPr>
            <w:r>
              <w:rPr>
                <w:bCs/>
                <w:color w:val="000000"/>
                <w:sz w:val="20"/>
              </w:rPr>
              <w:t>34,966</w:t>
            </w:r>
          </w:p>
        </w:tc>
      </w:tr>
      <w:tr w:rsidR="002406F0" w:rsidRPr="00DB7E02" w14:paraId="591055A0" w14:textId="77777777" w:rsidTr="0076211B">
        <w:trPr>
          <w:trHeight w:val="167"/>
          <w:jc w:val="center"/>
        </w:trPr>
        <w:tc>
          <w:tcPr>
            <w:tcW w:w="2712" w:type="dxa"/>
            <w:gridSpan w:val="2"/>
            <w:shd w:val="clear" w:color="auto" w:fill="auto"/>
            <w:noWrap/>
            <w:vAlign w:val="bottom"/>
          </w:tcPr>
          <w:p w14:paraId="13FC6BB9" w14:textId="155C5C51" w:rsidR="002406F0" w:rsidRPr="00DB7E02" w:rsidRDefault="002406F0" w:rsidP="002406F0">
            <w:pPr>
              <w:rPr>
                <w:color w:val="000000"/>
                <w:sz w:val="20"/>
              </w:rPr>
            </w:pPr>
            <w:r w:rsidRPr="00DB7E02">
              <w:rPr>
                <w:color w:val="000000"/>
                <w:sz w:val="20"/>
              </w:rPr>
              <w:t>Walk</w:t>
            </w:r>
          </w:p>
        </w:tc>
        <w:tc>
          <w:tcPr>
            <w:tcW w:w="5193" w:type="dxa"/>
            <w:gridSpan w:val="3"/>
            <w:shd w:val="clear" w:color="auto" w:fill="auto"/>
            <w:noWrap/>
            <w:vAlign w:val="bottom"/>
          </w:tcPr>
          <w:p w14:paraId="55BD4517" w14:textId="5211BF4C" w:rsidR="002406F0" w:rsidRDefault="002406F0" w:rsidP="002406F0">
            <w:pPr>
              <w:ind w:right="3544"/>
              <w:jc w:val="right"/>
              <w:rPr>
                <w:color w:val="000000"/>
                <w:sz w:val="20"/>
              </w:rPr>
            </w:pPr>
            <w:r>
              <w:rPr>
                <w:color w:val="000000"/>
                <w:sz w:val="20"/>
              </w:rPr>
              <w:t>2,747</w:t>
            </w:r>
          </w:p>
        </w:tc>
      </w:tr>
      <w:tr w:rsidR="002406F0" w:rsidRPr="00DB7E02" w14:paraId="4D1C43D6" w14:textId="77777777" w:rsidTr="0076211B">
        <w:trPr>
          <w:trHeight w:val="167"/>
          <w:jc w:val="center"/>
        </w:trPr>
        <w:tc>
          <w:tcPr>
            <w:tcW w:w="2712" w:type="dxa"/>
            <w:gridSpan w:val="2"/>
            <w:tcBorders>
              <w:bottom w:val="single" w:sz="4" w:space="0" w:color="auto"/>
            </w:tcBorders>
            <w:shd w:val="clear" w:color="auto" w:fill="auto"/>
            <w:noWrap/>
            <w:vAlign w:val="bottom"/>
          </w:tcPr>
          <w:p w14:paraId="49FCB643" w14:textId="3CBCC5D7" w:rsidR="002406F0" w:rsidRPr="00DB7E02" w:rsidRDefault="002406F0" w:rsidP="002406F0">
            <w:pPr>
              <w:rPr>
                <w:color w:val="000000"/>
                <w:sz w:val="20"/>
              </w:rPr>
            </w:pPr>
            <w:r w:rsidRPr="00DB7E02">
              <w:rPr>
                <w:color w:val="000000"/>
                <w:sz w:val="20"/>
              </w:rPr>
              <w:t>Not Walk</w:t>
            </w:r>
          </w:p>
        </w:tc>
        <w:tc>
          <w:tcPr>
            <w:tcW w:w="5193" w:type="dxa"/>
            <w:gridSpan w:val="3"/>
            <w:tcBorders>
              <w:bottom w:val="single" w:sz="4" w:space="0" w:color="auto"/>
            </w:tcBorders>
            <w:shd w:val="clear" w:color="auto" w:fill="auto"/>
            <w:noWrap/>
            <w:vAlign w:val="bottom"/>
          </w:tcPr>
          <w:p w14:paraId="7EE90972" w14:textId="5DBAF0B5" w:rsidR="002406F0" w:rsidRDefault="002406F0" w:rsidP="002406F0">
            <w:pPr>
              <w:ind w:right="3544"/>
              <w:jc w:val="right"/>
              <w:rPr>
                <w:color w:val="000000"/>
                <w:sz w:val="20"/>
              </w:rPr>
            </w:pPr>
            <w:r>
              <w:rPr>
                <w:color w:val="000000"/>
                <w:sz w:val="20"/>
              </w:rPr>
              <w:t>32,219</w:t>
            </w:r>
          </w:p>
        </w:tc>
      </w:tr>
    </w:tbl>
    <w:p w14:paraId="4ABE91CF" w14:textId="77777777" w:rsidR="00CB7CF1" w:rsidRDefault="00CB7CF1" w:rsidP="00CB7CF1"/>
    <w:p w14:paraId="7501638F" w14:textId="77777777" w:rsidR="00CB7CF1" w:rsidRDefault="00CB7CF1" w:rsidP="00320FDE"/>
    <w:p w14:paraId="69F59572" w14:textId="7E564411" w:rsidR="00320FDE" w:rsidRDefault="00320FDE" w:rsidP="00945585">
      <w:pPr>
        <w:pStyle w:val="BodyText"/>
        <w:jc w:val="center"/>
        <w:rPr>
          <w:noProof/>
        </w:rPr>
      </w:pPr>
    </w:p>
    <w:p w14:paraId="25D47F9A" w14:textId="74F0DCEC" w:rsidR="00355958" w:rsidRDefault="00983295" w:rsidP="00945585">
      <w:pPr>
        <w:pStyle w:val="BodyText"/>
        <w:jc w:val="center"/>
        <w:rPr>
          <w:noProof/>
        </w:rPr>
      </w:pPr>
      <w:r>
        <w:rPr>
          <w:noProof/>
        </w:rPr>
        <w:lastRenderedPageBreak/>
        <w:pict w14:anchorId="70E3BB17">
          <v:shape id="_x0000_i1029" type="#_x0000_t75" style="width:405pt;height:303.75pt">
            <v:imagedata r:id="rId21" o:title="Pooled"/>
          </v:shape>
        </w:pict>
      </w:r>
    </w:p>
    <w:p w14:paraId="71F5A00E" w14:textId="174C00F4" w:rsidR="00945585" w:rsidRDefault="00945585" w:rsidP="00FA1EDF">
      <w:pPr>
        <w:pStyle w:val="Caption"/>
      </w:pPr>
      <w:bookmarkStart w:id="47" w:name="_Ref511212929"/>
      <w:bookmarkStart w:id="48" w:name="_Toc2003586"/>
      <w:r>
        <w:t xml:space="preserve">Figure </w:t>
      </w:r>
      <w:fldSimple w:instr=" SEQ Figure \* ARABIC ">
        <w:r w:rsidR="00721680">
          <w:rPr>
            <w:noProof/>
          </w:rPr>
          <w:t>9</w:t>
        </w:r>
      </w:fldSimple>
      <w:bookmarkEnd w:id="47"/>
      <w:r>
        <w:t xml:space="preserve"> Predicted walk probabilities</w:t>
      </w:r>
      <w:bookmarkEnd w:id="48"/>
    </w:p>
    <w:p w14:paraId="0F28E397" w14:textId="7B91A5A7" w:rsidR="00320FDE" w:rsidRDefault="00E20FF2" w:rsidP="00320FDE">
      <w:pPr>
        <w:pStyle w:val="Heading2"/>
        <w:numPr>
          <w:ilvl w:val="1"/>
          <w:numId w:val="1"/>
        </w:numPr>
      </w:pPr>
      <w:bookmarkStart w:id="49" w:name="_Toc2003604"/>
      <w:r>
        <w:t>I</w:t>
      </w:r>
      <w:r w:rsidR="00A059F1">
        <w:t>nterregional</w:t>
      </w:r>
      <w:r w:rsidR="009F3093">
        <w:t xml:space="preserve"> measure </w:t>
      </w:r>
      <w:r w:rsidR="00A059F1">
        <w:t>transferability</w:t>
      </w:r>
      <w:bookmarkEnd w:id="49"/>
    </w:p>
    <w:p w14:paraId="30475C79" w14:textId="06E9F836" w:rsidR="00355958" w:rsidRDefault="007B7AA9" w:rsidP="00355958">
      <w:pPr>
        <w:pStyle w:val="BodyText"/>
      </w:pPr>
      <w:r>
        <w:t xml:space="preserve">In this section, we test the differences in various estimations of </w:t>
      </w:r>
      <w:r w:rsidR="0011199E" w:rsidRPr="007B7AA9">
        <w:t>PIE</w:t>
      </w:r>
      <w:r w:rsidR="0011199E" w:rsidRPr="007B7AA9">
        <w:rPr>
          <w:vertAlign w:val="subscript"/>
        </w:rPr>
        <w:t>bg</w:t>
      </w:r>
      <w:r>
        <w:t xml:space="preserve"> for different cities</w:t>
      </w:r>
      <w:r w:rsidR="0011199E" w:rsidRPr="007B7AA9">
        <w:t xml:space="preserve">. </w:t>
      </w:r>
      <w:r w:rsidR="00355958">
        <w:t>As the objective was to assess the transferability of our walkability measure, we needed to associate it with travel behavior data from each city in our study. To test relationships within and across regions,</w:t>
      </w:r>
      <w:r w:rsidR="00355958" w:rsidRPr="00F606DC">
        <w:t xml:space="preserve"> we assembled four US travel surveys: those coveri</w:t>
      </w:r>
      <w:r w:rsidR="00355958">
        <w:t xml:space="preserve">ng the state of California (Kunzman and Daigler 2013) as </w:t>
      </w:r>
      <w:r w:rsidR="00355958" w:rsidRPr="00F606DC">
        <w:t>well as the metropolitan areas of Minneapolis–St. Paul</w:t>
      </w:r>
      <w:r w:rsidR="00355958">
        <w:t xml:space="preserve"> (Cambridge Systematics 2014)</w:t>
      </w:r>
      <w:r w:rsidR="00355958" w:rsidRPr="00F606DC">
        <w:t>, Portland</w:t>
      </w:r>
      <w:r w:rsidR="00355958">
        <w:t xml:space="preserve"> (Oregon Modeling Steering Committee 2012), and Seattle (Cambridge Systematics 2006). The California </w:t>
      </w:r>
      <w:r w:rsidR="00355958" w:rsidRPr="00F606DC">
        <w:t>travel survey allowed for the inclusion of the Metropolitan Statistical Areas of Los Angeles, San Diego, and San Francisco-Oakland (without San Jose), bringing the t</w:t>
      </w:r>
      <w:r w:rsidR="00355958">
        <w:t>otal of US regions to six.</w:t>
      </w:r>
    </w:p>
    <w:p w14:paraId="3C5EF8E3" w14:textId="5946AB85" w:rsidR="0076211B" w:rsidRDefault="0076211B" w:rsidP="00CD7609">
      <w:pPr>
        <w:pStyle w:val="BodyText"/>
      </w:pPr>
      <w:r>
        <w:t xml:space="preserve">Following the </w:t>
      </w:r>
      <w:r w:rsidR="004927BE">
        <w:t xml:space="preserve">general </w:t>
      </w:r>
      <w:r>
        <w:t>procedures outlined in Section 4.0, we estimate PIE</w:t>
      </w:r>
      <w:r w:rsidRPr="0076211B">
        <w:rPr>
          <w:vertAlign w:val="subscript"/>
        </w:rPr>
        <w:t>bg</w:t>
      </w:r>
      <w:r>
        <w:t xml:space="preserve"> for five additional cities (Los Angeles, Minneapolis, San Diego, San Francisco, and Seattle) using household travel surveys and built environment data from each region. Then we compare the coefficient estimates across these regions to test if they are comparable and thus, indicate that PIE estimated from one region could indeed be applicable in another.</w:t>
      </w:r>
      <w:r w:rsidR="00CC248F">
        <w:t xml:space="preserve"> </w:t>
      </w:r>
      <w:r w:rsidR="00CC248F">
        <w:fldChar w:fldCharType="begin"/>
      </w:r>
      <w:r w:rsidR="00CC248F">
        <w:instrText xml:space="preserve"> REF _Ref522024223 \h </w:instrText>
      </w:r>
      <w:r w:rsidR="00CC248F">
        <w:fldChar w:fldCharType="separate"/>
      </w:r>
      <w:r w:rsidR="00CC248F">
        <w:t xml:space="preserve">Table </w:t>
      </w:r>
      <w:r w:rsidR="00CC248F">
        <w:rPr>
          <w:noProof/>
        </w:rPr>
        <w:t>5</w:t>
      </w:r>
      <w:r w:rsidR="00CC248F">
        <w:fldChar w:fldCharType="end"/>
      </w:r>
      <w:r w:rsidR="00CC248F">
        <w:t xml:space="preserve"> shows details from each metropolitan area travel survey and built environment attributes statistics. </w:t>
      </w:r>
    </w:p>
    <w:p w14:paraId="42C9DFDF" w14:textId="77777777" w:rsidR="00C24D97" w:rsidRDefault="00C24D97" w:rsidP="00CD7609">
      <w:pPr>
        <w:pStyle w:val="BodyText"/>
      </w:pPr>
    </w:p>
    <w:p w14:paraId="0DFF1DE0" w14:textId="35D41C99" w:rsidR="00C24D97" w:rsidRDefault="00CC248F" w:rsidP="00FA1EDF">
      <w:pPr>
        <w:pStyle w:val="Caption"/>
      </w:pPr>
      <w:bookmarkStart w:id="50" w:name="_Ref522024223"/>
      <w:bookmarkStart w:id="51" w:name="_Ref522024220"/>
      <w:bookmarkStart w:id="52" w:name="_Toc2003594"/>
      <w:r>
        <w:lastRenderedPageBreak/>
        <w:t xml:space="preserve">Table </w:t>
      </w:r>
      <w:r w:rsidR="001D2758">
        <w:rPr>
          <w:noProof/>
        </w:rPr>
        <w:fldChar w:fldCharType="begin"/>
      </w:r>
      <w:r w:rsidR="001D2758">
        <w:rPr>
          <w:noProof/>
        </w:rPr>
        <w:instrText xml:space="preserve"> SEQ Table \* ARABIC </w:instrText>
      </w:r>
      <w:r w:rsidR="001D2758">
        <w:rPr>
          <w:noProof/>
        </w:rPr>
        <w:fldChar w:fldCharType="separate"/>
      </w:r>
      <w:r>
        <w:rPr>
          <w:noProof/>
        </w:rPr>
        <w:t>5</w:t>
      </w:r>
      <w:r w:rsidR="001D2758">
        <w:rPr>
          <w:noProof/>
        </w:rPr>
        <w:fldChar w:fldCharType="end"/>
      </w:r>
      <w:bookmarkEnd w:id="50"/>
      <w:r>
        <w:t xml:space="preserve"> </w:t>
      </w:r>
      <w:r w:rsidR="00C24D97" w:rsidRPr="00F606DC">
        <w:t>Trip information and built environment measu</w:t>
      </w:r>
      <w:r w:rsidR="00C24D97">
        <w:t>res in each metropolitan area</w:t>
      </w:r>
      <w:bookmarkEnd w:id="51"/>
      <w:bookmarkEnd w:id="52"/>
    </w:p>
    <w:tbl>
      <w:tblPr>
        <w:tblW w:w="9244" w:type="dxa"/>
        <w:tblLook w:val="04A0" w:firstRow="1" w:lastRow="0" w:firstColumn="1" w:lastColumn="0" w:noHBand="0" w:noVBand="1"/>
      </w:tblPr>
      <w:tblGrid>
        <w:gridCol w:w="2000"/>
        <w:gridCol w:w="1128"/>
        <w:gridCol w:w="1572"/>
        <w:gridCol w:w="1283"/>
        <w:gridCol w:w="839"/>
        <w:gridCol w:w="1339"/>
        <w:gridCol w:w="1083"/>
      </w:tblGrid>
      <w:tr w:rsidR="00C24D97" w:rsidRPr="00A22D23" w14:paraId="3C9E4469" w14:textId="77777777" w:rsidTr="002E6B78">
        <w:trPr>
          <w:trHeight w:val="510"/>
        </w:trPr>
        <w:tc>
          <w:tcPr>
            <w:tcW w:w="2000" w:type="dxa"/>
            <w:tcBorders>
              <w:top w:val="single" w:sz="4" w:space="0" w:color="auto"/>
              <w:left w:val="nil"/>
              <w:bottom w:val="single" w:sz="4" w:space="0" w:color="auto"/>
              <w:right w:val="nil"/>
            </w:tcBorders>
            <w:shd w:val="clear" w:color="000000" w:fill="FFFFFF"/>
            <w:noWrap/>
            <w:vAlign w:val="center"/>
            <w:hideMark/>
          </w:tcPr>
          <w:p w14:paraId="0F29DDF7" w14:textId="77777777" w:rsidR="00C24D97" w:rsidRPr="00A22D23" w:rsidRDefault="00C24D97" w:rsidP="002E6B78">
            <w:pPr>
              <w:jc w:val="center"/>
              <w:rPr>
                <w:color w:val="000000"/>
                <w:sz w:val="20"/>
              </w:rPr>
            </w:pPr>
          </w:p>
        </w:tc>
        <w:tc>
          <w:tcPr>
            <w:tcW w:w="1128" w:type="dxa"/>
            <w:tcBorders>
              <w:top w:val="single" w:sz="4" w:space="0" w:color="auto"/>
              <w:left w:val="nil"/>
              <w:bottom w:val="single" w:sz="4" w:space="0" w:color="auto"/>
              <w:right w:val="nil"/>
            </w:tcBorders>
            <w:shd w:val="clear" w:color="000000" w:fill="FFFFFF"/>
            <w:vAlign w:val="center"/>
            <w:hideMark/>
          </w:tcPr>
          <w:p w14:paraId="5434FA10" w14:textId="77777777" w:rsidR="00C24D97" w:rsidRPr="00A22D23" w:rsidRDefault="00C24D97" w:rsidP="002E6B78">
            <w:pPr>
              <w:jc w:val="center"/>
              <w:rPr>
                <w:color w:val="000000"/>
                <w:sz w:val="20"/>
              </w:rPr>
            </w:pPr>
            <w:r w:rsidRPr="00A22D23">
              <w:rPr>
                <w:color w:val="000000"/>
                <w:sz w:val="20"/>
              </w:rPr>
              <w:t>LOS ANGELES</w:t>
            </w:r>
          </w:p>
        </w:tc>
        <w:tc>
          <w:tcPr>
            <w:tcW w:w="1572" w:type="dxa"/>
            <w:tcBorders>
              <w:top w:val="single" w:sz="4" w:space="0" w:color="auto"/>
              <w:left w:val="nil"/>
              <w:bottom w:val="single" w:sz="4" w:space="0" w:color="auto"/>
              <w:right w:val="nil"/>
            </w:tcBorders>
            <w:shd w:val="clear" w:color="000000" w:fill="FFFFFF"/>
            <w:vAlign w:val="center"/>
            <w:hideMark/>
          </w:tcPr>
          <w:p w14:paraId="0F6A0D89" w14:textId="77777777" w:rsidR="00C24D97" w:rsidRPr="00A22D23" w:rsidRDefault="00C24D97" w:rsidP="002E6B78">
            <w:pPr>
              <w:jc w:val="center"/>
              <w:rPr>
                <w:color w:val="000000"/>
                <w:sz w:val="20"/>
              </w:rPr>
            </w:pPr>
            <w:r w:rsidRPr="00A22D23">
              <w:rPr>
                <w:color w:val="000000"/>
                <w:sz w:val="20"/>
              </w:rPr>
              <w:t>MINNEAPOLIS – ST. PAUL</w:t>
            </w:r>
          </w:p>
        </w:tc>
        <w:tc>
          <w:tcPr>
            <w:tcW w:w="1283" w:type="dxa"/>
            <w:tcBorders>
              <w:top w:val="single" w:sz="4" w:space="0" w:color="auto"/>
              <w:left w:val="nil"/>
              <w:bottom w:val="single" w:sz="4" w:space="0" w:color="auto"/>
              <w:right w:val="nil"/>
            </w:tcBorders>
            <w:shd w:val="clear" w:color="000000" w:fill="FFFFFF"/>
            <w:vAlign w:val="center"/>
            <w:hideMark/>
          </w:tcPr>
          <w:p w14:paraId="7295EC73" w14:textId="77777777" w:rsidR="00C24D97" w:rsidRPr="00A22D23" w:rsidRDefault="00C24D97" w:rsidP="002E6B78">
            <w:pPr>
              <w:jc w:val="center"/>
              <w:rPr>
                <w:color w:val="000000"/>
                <w:sz w:val="20"/>
              </w:rPr>
            </w:pPr>
            <w:r w:rsidRPr="00A22D23">
              <w:rPr>
                <w:color w:val="000000"/>
                <w:sz w:val="20"/>
              </w:rPr>
              <w:t>PORTLAND</w:t>
            </w:r>
          </w:p>
        </w:tc>
        <w:tc>
          <w:tcPr>
            <w:tcW w:w="839" w:type="dxa"/>
            <w:tcBorders>
              <w:top w:val="single" w:sz="4" w:space="0" w:color="auto"/>
              <w:left w:val="nil"/>
              <w:bottom w:val="single" w:sz="4" w:space="0" w:color="auto"/>
              <w:right w:val="nil"/>
            </w:tcBorders>
            <w:shd w:val="clear" w:color="000000" w:fill="FFFFFF"/>
            <w:vAlign w:val="center"/>
            <w:hideMark/>
          </w:tcPr>
          <w:p w14:paraId="7C9CF401" w14:textId="77777777" w:rsidR="00C24D97" w:rsidRPr="00A22D23" w:rsidRDefault="00C24D97" w:rsidP="002E6B78">
            <w:pPr>
              <w:jc w:val="center"/>
              <w:rPr>
                <w:color w:val="000000"/>
                <w:sz w:val="20"/>
              </w:rPr>
            </w:pPr>
            <w:r w:rsidRPr="00A22D23">
              <w:rPr>
                <w:color w:val="000000"/>
                <w:sz w:val="20"/>
              </w:rPr>
              <w:t>SAN DIEGO</w:t>
            </w:r>
          </w:p>
        </w:tc>
        <w:tc>
          <w:tcPr>
            <w:tcW w:w="1339" w:type="dxa"/>
            <w:tcBorders>
              <w:top w:val="single" w:sz="4" w:space="0" w:color="auto"/>
              <w:left w:val="nil"/>
              <w:bottom w:val="single" w:sz="4" w:space="0" w:color="auto"/>
              <w:right w:val="nil"/>
            </w:tcBorders>
            <w:shd w:val="clear" w:color="000000" w:fill="FFFFFF"/>
            <w:vAlign w:val="center"/>
            <w:hideMark/>
          </w:tcPr>
          <w:p w14:paraId="2C49D0DC" w14:textId="77777777" w:rsidR="00C24D97" w:rsidRPr="00A22D23" w:rsidRDefault="00C24D97" w:rsidP="002E6B78">
            <w:pPr>
              <w:jc w:val="center"/>
              <w:rPr>
                <w:color w:val="000000"/>
                <w:sz w:val="20"/>
              </w:rPr>
            </w:pPr>
            <w:r w:rsidRPr="00A22D23">
              <w:rPr>
                <w:color w:val="000000"/>
                <w:sz w:val="20"/>
              </w:rPr>
              <w:t>SAN FRANCISCO</w:t>
            </w:r>
          </w:p>
        </w:tc>
        <w:tc>
          <w:tcPr>
            <w:tcW w:w="1083" w:type="dxa"/>
            <w:tcBorders>
              <w:top w:val="single" w:sz="4" w:space="0" w:color="auto"/>
              <w:left w:val="nil"/>
              <w:bottom w:val="single" w:sz="4" w:space="0" w:color="auto"/>
              <w:right w:val="nil"/>
            </w:tcBorders>
            <w:shd w:val="clear" w:color="000000" w:fill="FFFFFF"/>
            <w:vAlign w:val="center"/>
            <w:hideMark/>
          </w:tcPr>
          <w:p w14:paraId="26DE6390" w14:textId="77777777" w:rsidR="00C24D97" w:rsidRPr="00A22D23" w:rsidRDefault="00C24D97" w:rsidP="002E6B78">
            <w:pPr>
              <w:jc w:val="center"/>
              <w:rPr>
                <w:color w:val="000000"/>
                <w:sz w:val="20"/>
              </w:rPr>
            </w:pPr>
            <w:r w:rsidRPr="00A22D23">
              <w:rPr>
                <w:color w:val="000000"/>
                <w:sz w:val="20"/>
              </w:rPr>
              <w:t>SEATTLE</w:t>
            </w:r>
          </w:p>
        </w:tc>
      </w:tr>
      <w:tr w:rsidR="00C24D97" w:rsidRPr="00A22D23" w14:paraId="7FFC044C" w14:textId="77777777" w:rsidTr="002E6B78">
        <w:trPr>
          <w:trHeight w:val="600"/>
        </w:trPr>
        <w:tc>
          <w:tcPr>
            <w:tcW w:w="2000" w:type="dxa"/>
            <w:tcBorders>
              <w:top w:val="nil"/>
              <w:left w:val="nil"/>
              <w:bottom w:val="nil"/>
              <w:right w:val="nil"/>
            </w:tcBorders>
            <w:shd w:val="clear" w:color="000000" w:fill="FFFFFF"/>
            <w:vAlign w:val="center"/>
            <w:hideMark/>
          </w:tcPr>
          <w:p w14:paraId="1EB3335C" w14:textId="77777777" w:rsidR="00C24D97" w:rsidRPr="00A22D23" w:rsidRDefault="00C24D97" w:rsidP="002E6B78">
            <w:pPr>
              <w:rPr>
                <w:color w:val="000000"/>
                <w:sz w:val="20"/>
              </w:rPr>
            </w:pPr>
            <w:r w:rsidRPr="00A22D23">
              <w:rPr>
                <w:color w:val="000000"/>
                <w:sz w:val="20"/>
              </w:rPr>
              <w:t>Year of survey</w:t>
            </w:r>
          </w:p>
        </w:tc>
        <w:tc>
          <w:tcPr>
            <w:tcW w:w="1128" w:type="dxa"/>
            <w:tcBorders>
              <w:top w:val="nil"/>
              <w:left w:val="nil"/>
              <w:bottom w:val="nil"/>
              <w:right w:val="nil"/>
            </w:tcBorders>
            <w:shd w:val="clear" w:color="000000" w:fill="FFFFFF"/>
            <w:vAlign w:val="center"/>
            <w:hideMark/>
          </w:tcPr>
          <w:p w14:paraId="5BC60146" w14:textId="77777777" w:rsidR="00C24D97" w:rsidRPr="00A22D23" w:rsidRDefault="00C24D97" w:rsidP="002E6B78">
            <w:pPr>
              <w:jc w:val="center"/>
              <w:rPr>
                <w:color w:val="000000"/>
                <w:sz w:val="20"/>
              </w:rPr>
            </w:pPr>
            <w:r w:rsidRPr="00A22D23">
              <w:rPr>
                <w:color w:val="000000"/>
                <w:sz w:val="20"/>
              </w:rPr>
              <w:t>2010-12</w:t>
            </w:r>
          </w:p>
        </w:tc>
        <w:tc>
          <w:tcPr>
            <w:tcW w:w="1572" w:type="dxa"/>
            <w:tcBorders>
              <w:top w:val="nil"/>
              <w:left w:val="nil"/>
              <w:bottom w:val="nil"/>
              <w:right w:val="nil"/>
            </w:tcBorders>
            <w:shd w:val="clear" w:color="000000" w:fill="FFFFFF"/>
            <w:vAlign w:val="center"/>
            <w:hideMark/>
          </w:tcPr>
          <w:p w14:paraId="562BC4C0" w14:textId="77777777" w:rsidR="00C24D97" w:rsidRPr="00A22D23" w:rsidRDefault="00C24D97" w:rsidP="002E6B78">
            <w:pPr>
              <w:jc w:val="center"/>
              <w:rPr>
                <w:color w:val="000000"/>
                <w:sz w:val="20"/>
              </w:rPr>
            </w:pPr>
            <w:r w:rsidRPr="00A22D23">
              <w:rPr>
                <w:color w:val="000000"/>
                <w:sz w:val="20"/>
              </w:rPr>
              <w:t>2010</w:t>
            </w:r>
          </w:p>
        </w:tc>
        <w:tc>
          <w:tcPr>
            <w:tcW w:w="1283" w:type="dxa"/>
            <w:tcBorders>
              <w:top w:val="nil"/>
              <w:left w:val="nil"/>
              <w:bottom w:val="nil"/>
              <w:right w:val="nil"/>
            </w:tcBorders>
            <w:shd w:val="clear" w:color="000000" w:fill="FFFFFF"/>
            <w:vAlign w:val="center"/>
            <w:hideMark/>
          </w:tcPr>
          <w:p w14:paraId="6827F049" w14:textId="77777777" w:rsidR="00C24D97" w:rsidRPr="00A22D23" w:rsidRDefault="00C24D97" w:rsidP="002E6B78">
            <w:pPr>
              <w:jc w:val="center"/>
              <w:rPr>
                <w:color w:val="000000"/>
                <w:sz w:val="20"/>
              </w:rPr>
            </w:pPr>
            <w:r w:rsidRPr="00A22D23">
              <w:rPr>
                <w:color w:val="000000"/>
                <w:sz w:val="20"/>
              </w:rPr>
              <w:t>2011</w:t>
            </w:r>
          </w:p>
        </w:tc>
        <w:tc>
          <w:tcPr>
            <w:tcW w:w="839" w:type="dxa"/>
            <w:tcBorders>
              <w:top w:val="nil"/>
              <w:left w:val="nil"/>
              <w:bottom w:val="nil"/>
              <w:right w:val="nil"/>
            </w:tcBorders>
            <w:shd w:val="clear" w:color="000000" w:fill="FFFFFF"/>
            <w:vAlign w:val="center"/>
            <w:hideMark/>
          </w:tcPr>
          <w:p w14:paraId="5F3A07FE" w14:textId="77777777" w:rsidR="00C24D97" w:rsidRPr="00A22D23" w:rsidRDefault="00C24D97" w:rsidP="002E6B78">
            <w:pPr>
              <w:jc w:val="center"/>
              <w:rPr>
                <w:color w:val="000000"/>
                <w:sz w:val="20"/>
              </w:rPr>
            </w:pPr>
            <w:r w:rsidRPr="00A22D23">
              <w:rPr>
                <w:color w:val="000000"/>
                <w:sz w:val="20"/>
              </w:rPr>
              <w:t>2010-12</w:t>
            </w:r>
          </w:p>
        </w:tc>
        <w:tc>
          <w:tcPr>
            <w:tcW w:w="1339" w:type="dxa"/>
            <w:tcBorders>
              <w:top w:val="nil"/>
              <w:left w:val="nil"/>
              <w:bottom w:val="nil"/>
              <w:right w:val="nil"/>
            </w:tcBorders>
            <w:shd w:val="clear" w:color="000000" w:fill="FFFFFF"/>
            <w:vAlign w:val="center"/>
            <w:hideMark/>
          </w:tcPr>
          <w:p w14:paraId="5051958E" w14:textId="77777777" w:rsidR="00C24D97" w:rsidRPr="00A22D23" w:rsidRDefault="00C24D97" w:rsidP="002E6B78">
            <w:pPr>
              <w:jc w:val="center"/>
              <w:rPr>
                <w:color w:val="000000"/>
                <w:sz w:val="20"/>
              </w:rPr>
            </w:pPr>
            <w:r w:rsidRPr="00A22D23">
              <w:rPr>
                <w:color w:val="000000"/>
                <w:sz w:val="20"/>
              </w:rPr>
              <w:t>2010-12</w:t>
            </w:r>
          </w:p>
        </w:tc>
        <w:tc>
          <w:tcPr>
            <w:tcW w:w="1083" w:type="dxa"/>
            <w:tcBorders>
              <w:top w:val="nil"/>
              <w:left w:val="nil"/>
              <w:bottom w:val="nil"/>
              <w:right w:val="nil"/>
            </w:tcBorders>
            <w:shd w:val="clear" w:color="000000" w:fill="FFFFFF"/>
            <w:vAlign w:val="center"/>
            <w:hideMark/>
          </w:tcPr>
          <w:p w14:paraId="64E35335" w14:textId="77777777" w:rsidR="00C24D97" w:rsidRPr="00A22D23" w:rsidRDefault="00C24D97" w:rsidP="002E6B78">
            <w:pPr>
              <w:jc w:val="center"/>
              <w:rPr>
                <w:color w:val="000000"/>
                <w:sz w:val="20"/>
              </w:rPr>
            </w:pPr>
            <w:r w:rsidRPr="00A22D23">
              <w:rPr>
                <w:color w:val="000000"/>
                <w:sz w:val="20"/>
              </w:rPr>
              <w:t>2006</w:t>
            </w:r>
          </w:p>
        </w:tc>
      </w:tr>
      <w:tr w:rsidR="00C24D97" w:rsidRPr="00A22D23" w14:paraId="26D80D3C" w14:textId="77777777" w:rsidTr="002E6B78">
        <w:trPr>
          <w:trHeight w:val="600"/>
        </w:trPr>
        <w:tc>
          <w:tcPr>
            <w:tcW w:w="2000" w:type="dxa"/>
            <w:tcBorders>
              <w:top w:val="nil"/>
              <w:left w:val="nil"/>
              <w:bottom w:val="nil"/>
              <w:right w:val="nil"/>
            </w:tcBorders>
            <w:shd w:val="clear" w:color="000000" w:fill="FFFFFF"/>
            <w:vAlign w:val="center"/>
            <w:hideMark/>
          </w:tcPr>
          <w:p w14:paraId="023DD4F8" w14:textId="55548667" w:rsidR="00C24D97" w:rsidRPr="00A22D23" w:rsidRDefault="00C24D97" w:rsidP="008869A4">
            <w:pPr>
              <w:rPr>
                <w:color w:val="000000"/>
                <w:sz w:val="20"/>
              </w:rPr>
            </w:pPr>
            <w:r w:rsidRPr="00A22D23">
              <w:rPr>
                <w:color w:val="000000"/>
                <w:sz w:val="20"/>
              </w:rPr>
              <w:t>Total trips</w:t>
            </w:r>
          </w:p>
        </w:tc>
        <w:tc>
          <w:tcPr>
            <w:tcW w:w="1128" w:type="dxa"/>
            <w:tcBorders>
              <w:top w:val="nil"/>
              <w:left w:val="nil"/>
              <w:bottom w:val="nil"/>
              <w:right w:val="nil"/>
            </w:tcBorders>
            <w:shd w:val="clear" w:color="000000" w:fill="FFFFFF"/>
            <w:vAlign w:val="center"/>
            <w:hideMark/>
          </w:tcPr>
          <w:p w14:paraId="191FDD3A" w14:textId="77777777" w:rsidR="00C24D97" w:rsidRPr="00A22D23" w:rsidRDefault="00C24D97" w:rsidP="002E6B78">
            <w:pPr>
              <w:jc w:val="center"/>
              <w:rPr>
                <w:color w:val="000000"/>
                <w:sz w:val="20"/>
              </w:rPr>
            </w:pPr>
            <w:r w:rsidRPr="00A22D23">
              <w:rPr>
                <w:color w:val="000000"/>
                <w:sz w:val="20"/>
              </w:rPr>
              <w:t>32.8M</w:t>
            </w:r>
          </w:p>
        </w:tc>
        <w:tc>
          <w:tcPr>
            <w:tcW w:w="1572" w:type="dxa"/>
            <w:tcBorders>
              <w:top w:val="nil"/>
              <w:left w:val="nil"/>
              <w:bottom w:val="nil"/>
              <w:right w:val="nil"/>
            </w:tcBorders>
            <w:shd w:val="clear" w:color="000000" w:fill="FFFFFF"/>
            <w:vAlign w:val="center"/>
            <w:hideMark/>
          </w:tcPr>
          <w:p w14:paraId="7676B736" w14:textId="77777777" w:rsidR="00C24D97" w:rsidRPr="00A22D23" w:rsidRDefault="00C24D97" w:rsidP="002E6B78">
            <w:pPr>
              <w:jc w:val="center"/>
              <w:rPr>
                <w:color w:val="000000"/>
                <w:sz w:val="20"/>
              </w:rPr>
            </w:pPr>
            <w:r w:rsidRPr="00A22D23">
              <w:rPr>
                <w:color w:val="000000"/>
                <w:sz w:val="20"/>
              </w:rPr>
              <w:t>11.1M</w:t>
            </w:r>
          </w:p>
        </w:tc>
        <w:tc>
          <w:tcPr>
            <w:tcW w:w="1283" w:type="dxa"/>
            <w:tcBorders>
              <w:top w:val="nil"/>
              <w:left w:val="nil"/>
              <w:bottom w:val="nil"/>
              <w:right w:val="nil"/>
            </w:tcBorders>
            <w:shd w:val="clear" w:color="000000" w:fill="FFFFFF"/>
            <w:vAlign w:val="center"/>
            <w:hideMark/>
          </w:tcPr>
          <w:p w14:paraId="435F8BDA" w14:textId="77777777" w:rsidR="00C24D97" w:rsidRPr="00A22D23" w:rsidRDefault="00C24D97" w:rsidP="002E6B78">
            <w:pPr>
              <w:jc w:val="center"/>
              <w:rPr>
                <w:color w:val="000000"/>
                <w:sz w:val="20"/>
              </w:rPr>
            </w:pPr>
            <w:r w:rsidRPr="00A22D23">
              <w:rPr>
                <w:color w:val="000000"/>
                <w:sz w:val="20"/>
              </w:rPr>
              <w:t>6.5M</w:t>
            </w:r>
          </w:p>
        </w:tc>
        <w:tc>
          <w:tcPr>
            <w:tcW w:w="839" w:type="dxa"/>
            <w:tcBorders>
              <w:top w:val="nil"/>
              <w:left w:val="nil"/>
              <w:bottom w:val="nil"/>
              <w:right w:val="nil"/>
            </w:tcBorders>
            <w:shd w:val="clear" w:color="000000" w:fill="FFFFFF"/>
            <w:vAlign w:val="center"/>
            <w:hideMark/>
          </w:tcPr>
          <w:p w14:paraId="43850023" w14:textId="77777777" w:rsidR="00C24D97" w:rsidRPr="00A22D23" w:rsidRDefault="00C24D97" w:rsidP="002E6B78">
            <w:pPr>
              <w:jc w:val="center"/>
              <w:rPr>
                <w:color w:val="000000"/>
                <w:sz w:val="20"/>
              </w:rPr>
            </w:pPr>
            <w:r w:rsidRPr="00A22D23">
              <w:rPr>
                <w:color w:val="000000"/>
                <w:sz w:val="20"/>
              </w:rPr>
              <w:t>7.8M</w:t>
            </w:r>
          </w:p>
        </w:tc>
        <w:tc>
          <w:tcPr>
            <w:tcW w:w="1339" w:type="dxa"/>
            <w:tcBorders>
              <w:top w:val="nil"/>
              <w:left w:val="nil"/>
              <w:bottom w:val="nil"/>
              <w:right w:val="nil"/>
            </w:tcBorders>
            <w:shd w:val="clear" w:color="000000" w:fill="FFFFFF"/>
            <w:vAlign w:val="center"/>
            <w:hideMark/>
          </w:tcPr>
          <w:p w14:paraId="606325AA" w14:textId="77777777" w:rsidR="00C24D97" w:rsidRPr="00A22D23" w:rsidRDefault="00C24D97" w:rsidP="002E6B78">
            <w:pPr>
              <w:jc w:val="center"/>
              <w:rPr>
                <w:color w:val="000000"/>
                <w:sz w:val="20"/>
              </w:rPr>
            </w:pPr>
            <w:r w:rsidRPr="00A22D23">
              <w:rPr>
                <w:color w:val="000000"/>
                <w:sz w:val="20"/>
              </w:rPr>
              <w:t>13.4M</w:t>
            </w:r>
          </w:p>
        </w:tc>
        <w:tc>
          <w:tcPr>
            <w:tcW w:w="1083" w:type="dxa"/>
            <w:tcBorders>
              <w:top w:val="nil"/>
              <w:left w:val="nil"/>
              <w:bottom w:val="nil"/>
              <w:right w:val="nil"/>
            </w:tcBorders>
            <w:shd w:val="clear" w:color="000000" w:fill="FFFFFF"/>
            <w:vAlign w:val="center"/>
            <w:hideMark/>
          </w:tcPr>
          <w:p w14:paraId="56A8DAA0" w14:textId="77777777" w:rsidR="00C24D97" w:rsidRPr="00A22D23" w:rsidRDefault="00C24D97" w:rsidP="002E6B78">
            <w:pPr>
              <w:jc w:val="center"/>
              <w:rPr>
                <w:color w:val="000000"/>
                <w:sz w:val="20"/>
              </w:rPr>
            </w:pPr>
            <w:r w:rsidRPr="00A22D23">
              <w:rPr>
                <w:color w:val="000000"/>
                <w:sz w:val="20"/>
              </w:rPr>
              <w:t>12.6M</w:t>
            </w:r>
          </w:p>
        </w:tc>
      </w:tr>
      <w:tr w:rsidR="00C24D97" w:rsidRPr="00A22D23" w14:paraId="5800FF27" w14:textId="77777777" w:rsidTr="002E6B78">
        <w:trPr>
          <w:trHeight w:val="600"/>
        </w:trPr>
        <w:tc>
          <w:tcPr>
            <w:tcW w:w="2000" w:type="dxa"/>
            <w:tcBorders>
              <w:top w:val="nil"/>
              <w:left w:val="nil"/>
              <w:bottom w:val="nil"/>
              <w:right w:val="nil"/>
            </w:tcBorders>
            <w:shd w:val="clear" w:color="000000" w:fill="FFFFFF"/>
            <w:vAlign w:val="center"/>
            <w:hideMark/>
          </w:tcPr>
          <w:p w14:paraId="498079DC" w14:textId="77777777" w:rsidR="00C24D97" w:rsidRPr="00A22D23" w:rsidRDefault="00C24D97" w:rsidP="002E6B78">
            <w:pPr>
              <w:rPr>
                <w:color w:val="000000"/>
                <w:sz w:val="20"/>
              </w:rPr>
            </w:pPr>
            <w:r w:rsidRPr="00A22D23">
              <w:rPr>
                <w:color w:val="000000"/>
                <w:sz w:val="20"/>
              </w:rPr>
              <w:t>Population</w:t>
            </w:r>
          </w:p>
        </w:tc>
        <w:tc>
          <w:tcPr>
            <w:tcW w:w="1128" w:type="dxa"/>
            <w:tcBorders>
              <w:top w:val="nil"/>
              <w:left w:val="nil"/>
              <w:bottom w:val="nil"/>
              <w:right w:val="nil"/>
            </w:tcBorders>
            <w:shd w:val="clear" w:color="000000" w:fill="FFFFFF"/>
            <w:vAlign w:val="center"/>
            <w:hideMark/>
          </w:tcPr>
          <w:p w14:paraId="60CFB633" w14:textId="77777777" w:rsidR="00C24D97" w:rsidRPr="00A22D23" w:rsidRDefault="00C24D97" w:rsidP="002E6B78">
            <w:pPr>
              <w:jc w:val="center"/>
              <w:rPr>
                <w:color w:val="000000"/>
                <w:sz w:val="20"/>
              </w:rPr>
            </w:pPr>
            <w:r w:rsidRPr="00A22D23">
              <w:rPr>
                <w:color w:val="000000"/>
                <w:sz w:val="20"/>
              </w:rPr>
              <w:t>12.8M</w:t>
            </w:r>
          </w:p>
        </w:tc>
        <w:tc>
          <w:tcPr>
            <w:tcW w:w="1572" w:type="dxa"/>
            <w:tcBorders>
              <w:top w:val="nil"/>
              <w:left w:val="nil"/>
              <w:bottom w:val="nil"/>
              <w:right w:val="nil"/>
            </w:tcBorders>
            <w:shd w:val="clear" w:color="000000" w:fill="FFFFFF"/>
            <w:vAlign w:val="center"/>
            <w:hideMark/>
          </w:tcPr>
          <w:p w14:paraId="1B8DB518" w14:textId="77777777" w:rsidR="00C24D97" w:rsidRPr="00A22D23" w:rsidRDefault="00C24D97" w:rsidP="002E6B78">
            <w:pPr>
              <w:jc w:val="center"/>
              <w:rPr>
                <w:color w:val="000000"/>
                <w:sz w:val="20"/>
              </w:rPr>
            </w:pPr>
            <w:r w:rsidRPr="00A22D23">
              <w:rPr>
                <w:color w:val="000000"/>
                <w:sz w:val="20"/>
              </w:rPr>
              <w:t>3.3M</w:t>
            </w:r>
          </w:p>
        </w:tc>
        <w:tc>
          <w:tcPr>
            <w:tcW w:w="1283" w:type="dxa"/>
            <w:tcBorders>
              <w:top w:val="nil"/>
              <w:left w:val="nil"/>
              <w:bottom w:val="nil"/>
              <w:right w:val="nil"/>
            </w:tcBorders>
            <w:shd w:val="clear" w:color="000000" w:fill="FFFFFF"/>
            <w:vAlign w:val="center"/>
            <w:hideMark/>
          </w:tcPr>
          <w:p w14:paraId="26692925" w14:textId="77777777" w:rsidR="00C24D97" w:rsidRPr="00A22D23" w:rsidRDefault="00C24D97" w:rsidP="002E6B78">
            <w:pPr>
              <w:jc w:val="center"/>
              <w:rPr>
                <w:color w:val="000000"/>
                <w:sz w:val="20"/>
              </w:rPr>
            </w:pPr>
            <w:r w:rsidRPr="00A22D23">
              <w:rPr>
                <w:color w:val="000000"/>
                <w:sz w:val="20"/>
              </w:rPr>
              <w:t>2.2M</w:t>
            </w:r>
          </w:p>
        </w:tc>
        <w:tc>
          <w:tcPr>
            <w:tcW w:w="839" w:type="dxa"/>
            <w:tcBorders>
              <w:top w:val="nil"/>
              <w:left w:val="nil"/>
              <w:bottom w:val="nil"/>
              <w:right w:val="nil"/>
            </w:tcBorders>
            <w:shd w:val="clear" w:color="000000" w:fill="FFFFFF"/>
            <w:vAlign w:val="center"/>
            <w:hideMark/>
          </w:tcPr>
          <w:p w14:paraId="2B5C3899" w14:textId="77777777" w:rsidR="00C24D97" w:rsidRPr="00A22D23" w:rsidRDefault="00C24D97" w:rsidP="002E6B78">
            <w:pPr>
              <w:jc w:val="center"/>
              <w:rPr>
                <w:color w:val="000000"/>
                <w:sz w:val="20"/>
              </w:rPr>
            </w:pPr>
            <w:r w:rsidRPr="00A22D23">
              <w:rPr>
                <w:color w:val="000000"/>
                <w:sz w:val="20"/>
              </w:rPr>
              <w:t>3.1M</w:t>
            </w:r>
          </w:p>
        </w:tc>
        <w:tc>
          <w:tcPr>
            <w:tcW w:w="1339" w:type="dxa"/>
            <w:tcBorders>
              <w:top w:val="nil"/>
              <w:left w:val="nil"/>
              <w:bottom w:val="nil"/>
              <w:right w:val="nil"/>
            </w:tcBorders>
            <w:shd w:val="clear" w:color="000000" w:fill="FFFFFF"/>
            <w:vAlign w:val="center"/>
            <w:hideMark/>
          </w:tcPr>
          <w:p w14:paraId="0BF41C5A" w14:textId="77777777" w:rsidR="00C24D97" w:rsidRPr="00A22D23" w:rsidRDefault="00C24D97" w:rsidP="002E6B78">
            <w:pPr>
              <w:jc w:val="center"/>
              <w:rPr>
                <w:color w:val="000000"/>
                <w:sz w:val="20"/>
              </w:rPr>
            </w:pPr>
            <w:r w:rsidRPr="00A22D23">
              <w:rPr>
                <w:color w:val="000000"/>
                <w:sz w:val="20"/>
              </w:rPr>
              <w:t>4.3M</w:t>
            </w:r>
          </w:p>
        </w:tc>
        <w:tc>
          <w:tcPr>
            <w:tcW w:w="1083" w:type="dxa"/>
            <w:tcBorders>
              <w:top w:val="nil"/>
              <w:left w:val="nil"/>
              <w:bottom w:val="nil"/>
              <w:right w:val="nil"/>
            </w:tcBorders>
            <w:shd w:val="clear" w:color="000000" w:fill="FFFFFF"/>
            <w:vAlign w:val="center"/>
            <w:hideMark/>
          </w:tcPr>
          <w:p w14:paraId="2EF06936" w14:textId="77777777" w:rsidR="00C24D97" w:rsidRPr="00A22D23" w:rsidRDefault="00C24D97" w:rsidP="002E6B78">
            <w:pPr>
              <w:jc w:val="center"/>
              <w:rPr>
                <w:color w:val="000000"/>
                <w:sz w:val="20"/>
              </w:rPr>
            </w:pPr>
            <w:r w:rsidRPr="00A22D23">
              <w:rPr>
                <w:color w:val="000000"/>
                <w:sz w:val="20"/>
              </w:rPr>
              <w:t>3.4M</w:t>
            </w:r>
          </w:p>
        </w:tc>
      </w:tr>
      <w:tr w:rsidR="00C24D97" w:rsidRPr="00A22D23" w14:paraId="127E70E2" w14:textId="77777777" w:rsidTr="006A1058">
        <w:trPr>
          <w:trHeight w:val="600"/>
        </w:trPr>
        <w:tc>
          <w:tcPr>
            <w:tcW w:w="2000" w:type="dxa"/>
            <w:tcBorders>
              <w:top w:val="nil"/>
              <w:left w:val="nil"/>
              <w:right w:val="nil"/>
            </w:tcBorders>
            <w:shd w:val="clear" w:color="000000" w:fill="FFFFFF"/>
            <w:vAlign w:val="center"/>
            <w:hideMark/>
          </w:tcPr>
          <w:p w14:paraId="39496066" w14:textId="77777777" w:rsidR="00C24D97" w:rsidRPr="00A22D23" w:rsidRDefault="00C24D97" w:rsidP="002E6B78">
            <w:pPr>
              <w:rPr>
                <w:color w:val="000000"/>
                <w:sz w:val="20"/>
              </w:rPr>
            </w:pPr>
            <w:r w:rsidRPr="00A22D23">
              <w:rPr>
                <w:color w:val="000000"/>
                <w:sz w:val="20"/>
              </w:rPr>
              <w:t xml:space="preserve">Walking </w:t>
            </w:r>
            <w:r>
              <w:rPr>
                <w:color w:val="000000"/>
                <w:sz w:val="20"/>
              </w:rPr>
              <w:t xml:space="preserve">mode share </w:t>
            </w:r>
            <w:r w:rsidRPr="00A22D23">
              <w:rPr>
                <w:color w:val="000000"/>
                <w:sz w:val="20"/>
              </w:rPr>
              <w:t>(%)</w:t>
            </w:r>
          </w:p>
        </w:tc>
        <w:tc>
          <w:tcPr>
            <w:tcW w:w="1128" w:type="dxa"/>
            <w:tcBorders>
              <w:top w:val="nil"/>
              <w:left w:val="nil"/>
              <w:right w:val="nil"/>
            </w:tcBorders>
            <w:shd w:val="clear" w:color="000000" w:fill="FFFFFF"/>
            <w:vAlign w:val="center"/>
            <w:hideMark/>
          </w:tcPr>
          <w:p w14:paraId="4F03EBBE" w14:textId="77777777" w:rsidR="00C24D97" w:rsidRPr="00A22D23" w:rsidRDefault="00C24D97" w:rsidP="002E6B78">
            <w:pPr>
              <w:jc w:val="center"/>
              <w:rPr>
                <w:color w:val="000000"/>
                <w:sz w:val="20"/>
              </w:rPr>
            </w:pPr>
            <w:r w:rsidRPr="00A22D23">
              <w:rPr>
                <w:color w:val="000000"/>
                <w:sz w:val="20"/>
              </w:rPr>
              <w:t>11.0%</w:t>
            </w:r>
          </w:p>
        </w:tc>
        <w:tc>
          <w:tcPr>
            <w:tcW w:w="1572" w:type="dxa"/>
            <w:tcBorders>
              <w:top w:val="nil"/>
              <w:left w:val="nil"/>
              <w:right w:val="nil"/>
            </w:tcBorders>
            <w:shd w:val="clear" w:color="000000" w:fill="FFFFFF"/>
            <w:vAlign w:val="center"/>
            <w:hideMark/>
          </w:tcPr>
          <w:p w14:paraId="6477A4D3" w14:textId="77777777" w:rsidR="00C24D97" w:rsidRPr="00A22D23" w:rsidRDefault="00C24D97" w:rsidP="002E6B78">
            <w:pPr>
              <w:jc w:val="center"/>
              <w:rPr>
                <w:color w:val="000000"/>
                <w:sz w:val="20"/>
              </w:rPr>
            </w:pPr>
            <w:r w:rsidRPr="00A22D23">
              <w:rPr>
                <w:color w:val="000000"/>
                <w:sz w:val="20"/>
              </w:rPr>
              <w:t>6.2%</w:t>
            </w:r>
          </w:p>
        </w:tc>
        <w:tc>
          <w:tcPr>
            <w:tcW w:w="1283" w:type="dxa"/>
            <w:tcBorders>
              <w:top w:val="nil"/>
              <w:left w:val="nil"/>
              <w:right w:val="nil"/>
            </w:tcBorders>
            <w:shd w:val="clear" w:color="000000" w:fill="FFFFFF"/>
            <w:vAlign w:val="center"/>
            <w:hideMark/>
          </w:tcPr>
          <w:p w14:paraId="5CFB1375" w14:textId="77777777" w:rsidR="00C24D97" w:rsidRPr="00A22D23" w:rsidRDefault="00C24D97" w:rsidP="002E6B78">
            <w:pPr>
              <w:jc w:val="center"/>
              <w:rPr>
                <w:color w:val="000000"/>
                <w:sz w:val="20"/>
              </w:rPr>
            </w:pPr>
            <w:r w:rsidRPr="00A22D23">
              <w:rPr>
                <w:color w:val="000000"/>
                <w:sz w:val="20"/>
              </w:rPr>
              <w:t>8.6%</w:t>
            </w:r>
          </w:p>
        </w:tc>
        <w:tc>
          <w:tcPr>
            <w:tcW w:w="839" w:type="dxa"/>
            <w:tcBorders>
              <w:top w:val="nil"/>
              <w:left w:val="nil"/>
              <w:right w:val="nil"/>
            </w:tcBorders>
            <w:shd w:val="clear" w:color="000000" w:fill="FFFFFF"/>
            <w:vAlign w:val="center"/>
            <w:hideMark/>
          </w:tcPr>
          <w:p w14:paraId="2726636B" w14:textId="77777777" w:rsidR="00C24D97" w:rsidRPr="00A22D23" w:rsidRDefault="00C24D97" w:rsidP="002E6B78">
            <w:pPr>
              <w:jc w:val="center"/>
              <w:rPr>
                <w:color w:val="000000"/>
                <w:sz w:val="20"/>
              </w:rPr>
            </w:pPr>
            <w:r w:rsidRPr="00A22D23">
              <w:rPr>
                <w:color w:val="000000"/>
                <w:sz w:val="20"/>
              </w:rPr>
              <w:t>8.5%</w:t>
            </w:r>
          </w:p>
        </w:tc>
        <w:tc>
          <w:tcPr>
            <w:tcW w:w="1339" w:type="dxa"/>
            <w:tcBorders>
              <w:top w:val="nil"/>
              <w:left w:val="nil"/>
              <w:right w:val="nil"/>
            </w:tcBorders>
            <w:shd w:val="clear" w:color="000000" w:fill="FFFFFF"/>
            <w:vAlign w:val="center"/>
            <w:hideMark/>
          </w:tcPr>
          <w:p w14:paraId="06C0D9A4" w14:textId="77777777" w:rsidR="00C24D97" w:rsidRPr="00A22D23" w:rsidRDefault="00C24D97" w:rsidP="002E6B78">
            <w:pPr>
              <w:jc w:val="center"/>
              <w:rPr>
                <w:color w:val="000000"/>
                <w:sz w:val="20"/>
              </w:rPr>
            </w:pPr>
            <w:r w:rsidRPr="00A22D23">
              <w:rPr>
                <w:color w:val="000000"/>
                <w:sz w:val="20"/>
              </w:rPr>
              <w:t>15.9%</w:t>
            </w:r>
          </w:p>
        </w:tc>
        <w:tc>
          <w:tcPr>
            <w:tcW w:w="1083" w:type="dxa"/>
            <w:tcBorders>
              <w:top w:val="nil"/>
              <w:left w:val="nil"/>
              <w:right w:val="nil"/>
            </w:tcBorders>
            <w:shd w:val="clear" w:color="000000" w:fill="FFFFFF"/>
            <w:vAlign w:val="center"/>
            <w:hideMark/>
          </w:tcPr>
          <w:p w14:paraId="2F6A0CEB" w14:textId="77777777" w:rsidR="00C24D97" w:rsidRPr="00A22D23" w:rsidRDefault="00C24D97" w:rsidP="002E6B78">
            <w:pPr>
              <w:jc w:val="center"/>
              <w:rPr>
                <w:color w:val="000000"/>
                <w:sz w:val="20"/>
              </w:rPr>
            </w:pPr>
            <w:r w:rsidRPr="00A22D23">
              <w:rPr>
                <w:color w:val="000000"/>
                <w:sz w:val="20"/>
              </w:rPr>
              <w:t>7.9%</w:t>
            </w:r>
          </w:p>
        </w:tc>
      </w:tr>
      <w:tr w:rsidR="00C24D97" w:rsidRPr="00A22D23" w14:paraId="6740FF7A" w14:textId="77777777" w:rsidTr="006A1058">
        <w:trPr>
          <w:trHeight w:val="600"/>
        </w:trPr>
        <w:tc>
          <w:tcPr>
            <w:tcW w:w="2000" w:type="dxa"/>
            <w:tcBorders>
              <w:top w:val="nil"/>
              <w:left w:val="nil"/>
              <w:bottom w:val="nil"/>
              <w:right w:val="nil"/>
            </w:tcBorders>
            <w:shd w:val="clear" w:color="000000" w:fill="FFFFFF"/>
            <w:vAlign w:val="center"/>
            <w:hideMark/>
          </w:tcPr>
          <w:p w14:paraId="17BD5BF4" w14:textId="77777777" w:rsidR="00C24D97" w:rsidRPr="00A22D23" w:rsidRDefault="00C24D97" w:rsidP="002E6B78">
            <w:pPr>
              <w:rPr>
                <w:color w:val="000000"/>
                <w:sz w:val="20"/>
              </w:rPr>
            </w:pPr>
            <w:r>
              <w:rPr>
                <w:color w:val="000000"/>
                <w:sz w:val="20"/>
              </w:rPr>
              <w:t>No. of block groups</w:t>
            </w:r>
          </w:p>
        </w:tc>
        <w:tc>
          <w:tcPr>
            <w:tcW w:w="1128" w:type="dxa"/>
            <w:tcBorders>
              <w:top w:val="nil"/>
              <w:left w:val="nil"/>
              <w:bottom w:val="nil"/>
              <w:right w:val="nil"/>
            </w:tcBorders>
            <w:shd w:val="clear" w:color="000000" w:fill="FFFFFF"/>
            <w:vAlign w:val="center"/>
            <w:hideMark/>
          </w:tcPr>
          <w:p w14:paraId="567D6EEA" w14:textId="77777777" w:rsidR="00C24D97" w:rsidRPr="00A22D23" w:rsidRDefault="00C24D97" w:rsidP="002E6B78">
            <w:pPr>
              <w:jc w:val="center"/>
              <w:rPr>
                <w:color w:val="000000"/>
                <w:sz w:val="20"/>
              </w:rPr>
            </w:pPr>
            <w:r w:rsidRPr="00A22D23">
              <w:rPr>
                <w:color w:val="000000"/>
                <w:sz w:val="20"/>
              </w:rPr>
              <w:t>8248</w:t>
            </w:r>
          </w:p>
        </w:tc>
        <w:tc>
          <w:tcPr>
            <w:tcW w:w="1572" w:type="dxa"/>
            <w:tcBorders>
              <w:top w:val="nil"/>
              <w:left w:val="nil"/>
              <w:bottom w:val="nil"/>
              <w:right w:val="nil"/>
            </w:tcBorders>
            <w:shd w:val="clear" w:color="000000" w:fill="FFFFFF"/>
            <w:vAlign w:val="center"/>
            <w:hideMark/>
          </w:tcPr>
          <w:p w14:paraId="2514E798" w14:textId="77777777" w:rsidR="00C24D97" w:rsidRPr="00A22D23" w:rsidRDefault="00C24D97" w:rsidP="002E6B78">
            <w:pPr>
              <w:jc w:val="center"/>
              <w:rPr>
                <w:color w:val="000000"/>
                <w:sz w:val="20"/>
              </w:rPr>
            </w:pPr>
            <w:r w:rsidRPr="00A22D23">
              <w:rPr>
                <w:color w:val="000000"/>
                <w:sz w:val="20"/>
              </w:rPr>
              <w:t>2314</w:t>
            </w:r>
          </w:p>
        </w:tc>
        <w:tc>
          <w:tcPr>
            <w:tcW w:w="1283" w:type="dxa"/>
            <w:tcBorders>
              <w:top w:val="nil"/>
              <w:left w:val="nil"/>
              <w:bottom w:val="nil"/>
              <w:right w:val="nil"/>
            </w:tcBorders>
            <w:shd w:val="clear" w:color="000000" w:fill="FFFFFF"/>
            <w:vAlign w:val="center"/>
            <w:hideMark/>
          </w:tcPr>
          <w:p w14:paraId="2E056ADE" w14:textId="77777777" w:rsidR="00C24D97" w:rsidRPr="00A22D23" w:rsidRDefault="00C24D97" w:rsidP="002E6B78">
            <w:pPr>
              <w:jc w:val="center"/>
              <w:rPr>
                <w:color w:val="000000"/>
                <w:sz w:val="20"/>
              </w:rPr>
            </w:pPr>
            <w:r w:rsidRPr="00A22D23">
              <w:rPr>
                <w:color w:val="000000"/>
                <w:sz w:val="20"/>
              </w:rPr>
              <w:t>1555</w:t>
            </w:r>
          </w:p>
        </w:tc>
        <w:tc>
          <w:tcPr>
            <w:tcW w:w="839" w:type="dxa"/>
            <w:tcBorders>
              <w:top w:val="nil"/>
              <w:left w:val="nil"/>
              <w:bottom w:val="nil"/>
              <w:right w:val="nil"/>
            </w:tcBorders>
            <w:shd w:val="clear" w:color="000000" w:fill="FFFFFF"/>
            <w:vAlign w:val="center"/>
            <w:hideMark/>
          </w:tcPr>
          <w:p w14:paraId="20E1866A" w14:textId="77777777" w:rsidR="00C24D97" w:rsidRPr="00A22D23" w:rsidRDefault="00C24D97" w:rsidP="002E6B78">
            <w:pPr>
              <w:jc w:val="center"/>
              <w:rPr>
                <w:color w:val="000000"/>
                <w:sz w:val="20"/>
              </w:rPr>
            </w:pPr>
            <w:r w:rsidRPr="00A22D23">
              <w:rPr>
                <w:color w:val="000000"/>
                <w:sz w:val="20"/>
              </w:rPr>
              <w:t>1795</w:t>
            </w:r>
          </w:p>
        </w:tc>
        <w:tc>
          <w:tcPr>
            <w:tcW w:w="1339" w:type="dxa"/>
            <w:tcBorders>
              <w:top w:val="nil"/>
              <w:left w:val="nil"/>
              <w:bottom w:val="nil"/>
              <w:right w:val="nil"/>
            </w:tcBorders>
            <w:shd w:val="clear" w:color="000000" w:fill="FFFFFF"/>
            <w:vAlign w:val="center"/>
            <w:hideMark/>
          </w:tcPr>
          <w:p w14:paraId="06EE5A17" w14:textId="77777777" w:rsidR="00C24D97" w:rsidRPr="00A22D23" w:rsidRDefault="00C24D97" w:rsidP="002E6B78">
            <w:pPr>
              <w:jc w:val="center"/>
              <w:rPr>
                <w:color w:val="000000"/>
                <w:sz w:val="20"/>
              </w:rPr>
            </w:pPr>
            <w:r w:rsidRPr="00A22D23">
              <w:rPr>
                <w:color w:val="000000"/>
                <w:sz w:val="20"/>
              </w:rPr>
              <w:t>2903</w:t>
            </w:r>
          </w:p>
        </w:tc>
        <w:tc>
          <w:tcPr>
            <w:tcW w:w="1083" w:type="dxa"/>
            <w:tcBorders>
              <w:top w:val="nil"/>
              <w:left w:val="nil"/>
              <w:bottom w:val="nil"/>
              <w:right w:val="nil"/>
            </w:tcBorders>
            <w:shd w:val="clear" w:color="000000" w:fill="FFFFFF"/>
            <w:vAlign w:val="center"/>
            <w:hideMark/>
          </w:tcPr>
          <w:p w14:paraId="0102E612" w14:textId="77777777" w:rsidR="00C24D97" w:rsidRPr="00A22D23" w:rsidRDefault="00C24D97" w:rsidP="002E6B78">
            <w:pPr>
              <w:jc w:val="center"/>
              <w:rPr>
                <w:color w:val="000000"/>
                <w:sz w:val="20"/>
              </w:rPr>
            </w:pPr>
            <w:r w:rsidRPr="00A22D23">
              <w:rPr>
                <w:color w:val="000000"/>
                <w:sz w:val="20"/>
              </w:rPr>
              <w:t>2483</w:t>
            </w:r>
          </w:p>
        </w:tc>
      </w:tr>
      <w:tr w:rsidR="008869A4" w:rsidRPr="00A22D23" w14:paraId="1E525D85" w14:textId="77777777" w:rsidTr="006A1058">
        <w:trPr>
          <w:trHeight w:val="600"/>
        </w:trPr>
        <w:tc>
          <w:tcPr>
            <w:tcW w:w="2000" w:type="dxa"/>
            <w:tcBorders>
              <w:top w:val="nil"/>
              <w:left w:val="nil"/>
              <w:bottom w:val="nil"/>
              <w:right w:val="nil"/>
            </w:tcBorders>
            <w:shd w:val="clear" w:color="000000" w:fill="FFFFFF"/>
            <w:vAlign w:val="center"/>
          </w:tcPr>
          <w:p w14:paraId="311E0C14" w14:textId="3B024CB6" w:rsidR="008869A4" w:rsidRDefault="008869A4" w:rsidP="002E6B78">
            <w:pPr>
              <w:rPr>
                <w:color w:val="000000"/>
                <w:sz w:val="20"/>
              </w:rPr>
            </w:pPr>
            <w:r>
              <w:rPr>
                <w:color w:val="000000"/>
                <w:sz w:val="20"/>
              </w:rPr>
              <w:t>Population density range [ppl/acre]</w:t>
            </w:r>
          </w:p>
        </w:tc>
        <w:tc>
          <w:tcPr>
            <w:tcW w:w="1128" w:type="dxa"/>
            <w:tcBorders>
              <w:top w:val="nil"/>
              <w:left w:val="nil"/>
              <w:bottom w:val="nil"/>
              <w:right w:val="nil"/>
            </w:tcBorders>
            <w:shd w:val="clear" w:color="000000" w:fill="FFFFFF"/>
            <w:vAlign w:val="center"/>
          </w:tcPr>
          <w:p w14:paraId="68C22837" w14:textId="043C5C90" w:rsidR="008869A4" w:rsidRPr="00A22D23" w:rsidRDefault="008869A4" w:rsidP="002E6B78">
            <w:pPr>
              <w:jc w:val="center"/>
              <w:rPr>
                <w:color w:val="000000"/>
                <w:sz w:val="20"/>
              </w:rPr>
            </w:pPr>
            <w:r>
              <w:rPr>
                <w:color w:val="000000"/>
                <w:sz w:val="20"/>
              </w:rPr>
              <w:t>[0,300]</w:t>
            </w:r>
          </w:p>
        </w:tc>
        <w:tc>
          <w:tcPr>
            <w:tcW w:w="1572" w:type="dxa"/>
            <w:tcBorders>
              <w:top w:val="nil"/>
              <w:left w:val="nil"/>
              <w:bottom w:val="nil"/>
              <w:right w:val="nil"/>
            </w:tcBorders>
            <w:shd w:val="clear" w:color="000000" w:fill="FFFFFF"/>
            <w:vAlign w:val="center"/>
          </w:tcPr>
          <w:p w14:paraId="7B8DB4B9" w14:textId="204A3CF3" w:rsidR="008869A4" w:rsidRPr="00A22D23" w:rsidRDefault="008869A4" w:rsidP="002E6B78">
            <w:pPr>
              <w:jc w:val="center"/>
              <w:rPr>
                <w:color w:val="000000"/>
                <w:sz w:val="20"/>
              </w:rPr>
            </w:pPr>
            <w:r>
              <w:rPr>
                <w:color w:val="000000"/>
                <w:sz w:val="20"/>
              </w:rPr>
              <w:t>[0,180]</w:t>
            </w:r>
          </w:p>
        </w:tc>
        <w:tc>
          <w:tcPr>
            <w:tcW w:w="1283" w:type="dxa"/>
            <w:tcBorders>
              <w:top w:val="nil"/>
              <w:left w:val="nil"/>
              <w:bottom w:val="nil"/>
              <w:right w:val="nil"/>
            </w:tcBorders>
            <w:shd w:val="clear" w:color="000000" w:fill="FFFFFF"/>
            <w:vAlign w:val="center"/>
          </w:tcPr>
          <w:p w14:paraId="065B08E2" w14:textId="310C677E" w:rsidR="008869A4" w:rsidRPr="00A22D23" w:rsidRDefault="008869A4" w:rsidP="002E6B78">
            <w:pPr>
              <w:jc w:val="center"/>
              <w:rPr>
                <w:color w:val="000000"/>
                <w:sz w:val="20"/>
              </w:rPr>
            </w:pPr>
            <w:r>
              <w:rPr>
                <w:color w:val="000000"/>
                <w:sz w:val="20"/>
              </w:rPr>
              <w:t>[0,100]</w:t>
            </w:r>
          </w:p>
        </w:tc>
        <w:tc>
          <w:tcPr>
            <w:tcW w:w="839" w:type="dxa"/>
            <w:tcBorders>
              <w:top w:val="nil"/>
              <w:left w:val="nil"/>
              <w:bottom w:val="nil"/>
              <w:right w:val="nil"/>
            </w:tcBorders>
            <w:shd w:val="clear" w:color="000000" w:fill="FFFFFF"/>
            <w:vAlign w:val="center"/>
          </w:tcPr>
          <w:p w14:paraId="6D707A53" w14:textId="7D04CD87" w:rsidR="008869A4" w:rsidRPr="00A22D23" w:rsidRDefault="008869A4" w:rsidP="002E6B78">
            <w:pPr>
              <w:jc w:val="center"/>
              <w:rPr>
                <w:color w:val="000000"/>
                <w:sz w:val="20"/>
              </w:rPr>
            </w:pPr>
            <w:r>
              <w:rPr>
                <w:color w:val="000000"/>
                <w:sz w:val="20"/>
              </w:rPr>
              <w:t>[0,93]</w:t>
            </w:r>
          </w:p>
        </w:tc>
        <w:tc>
          <w:tcPr>
            <w:tcW w:w="1339" w:type="dxa"/>
            <w:tcBorders>
              <w:top w:val="nil"/>
              <w:left w:val="nil"/>
              <w:bottom w:val="nil"/>
              <w:right w:val="nil"/>
            </w:tcBorders>
            <w:shd w:val="clear" w:color="000000" w:fill="FFFFFF"/>
            <w:vAlign w:val="center"/>
          </w:tcPr>
          <w:p w14:paraId="0F11B326" w14:textId="5FE2DABC" w:rsidR="008869A4" w:rsidRPr="00A22D23" w:rsidRDefault="008869A4" w:rsidP="002E6B78">
            <w:pPr>
              <w:jc w:val="center"/>
              <w:rPr>
                <w:color w:val="000000"/>
                <w:sz w:val="20"/>
              </w:rPr>
            </w:pPr>
            <w:r>
              <w:rPr>
                <w:color w:val="000000"/>
                <w:sz w:val="20"/>
              </w:rPr>
              <w:t>[0,319]</w:t>
            </w:r>
          </w:p>
        </w:tc>
        <w:tc>
          <w:tcPr>
            <w:tcW w:w="1083" w:type="dxa"/>
            <w:tcBorders>
              <w:top w:val="nil"/>
              <w:left w:val="nil"/>
              <w:bottom w:val="nil"/>
              <w:right w:val="nil"/>
            </w:tcBorders>
            <w:shd w:val="clear" w:color="000000" w:fill="FFFFFF"/>
            <w:vAlign w:val="center"/>
          </w:tcPr>
          <w:p w14:paraId="351268FC" w14:textId="1A23C927" w:rsidR="008869A4" w:rsidRPr="00A22D23" w:rsidRDefault="008869A4" w:rsidP="002E6B78">
            <w:pPr>
              <w:jc w:val="center"/>
              <w:rPr>
                <w:color w:val="000000"/>
                <w:sz w:val="20"/>
              </w:rPr>
            </w:pPr>
            <w:r>
              <w:rPr>
                <w:color w:val="000000"/>
                <w:sz w:val="20"/>
              </w:rPr>
              <w:t>[0,173]</w:t>
            </w:r>
          </w:p>
        </w:tc>
      </w:tr>
      <w:tr w:rsidR="008869A4" w:rsidRPr="00A22D23" w14:paraId="5325C77F" w14:textId="77777777" w:rsidTr="006A1058">
        <w:trPr>
          <w:trHeight w:val="600"/>
        </w:trPr>
        <w:tc>
          <w:tcPr>
            <w:tcW w:w="2000" w:type="dxa"/>
            <w:tcBorders>
              <w:top w:val="nil"/>
              <w:left w:val="nil"/>
              <w:bottom w:val="nil"/>
              <w:right w:val="nil"/>
            </w:tcBorders>
            <w:shd w:val="clear" w:color="000000" w:fill="FFFFFF"/>
            <w:vAlign w:val="center"/>
          </w:tcPr>
          <w:p w14:paraId="2BCE4022" w14:textId="2658EC65" w:rsidR="008869A4" w:rsidRDefault="008869A4" w:rsidP="008869A4">
            <w:pPr>
              <w:rPr>
                <w:color w:val="000000"/>
                <w:sz w:val="20"/>
              </w:rPr>
            </w:pPr>
            <w:r>
              <w:rPr>
                <w:color w:val="000000"/>
                <w:sz w:val="20"/>
              </w:rPr>
              <w:t>Population density mean [ppl/acre] (std. deviation)</w:t>
            </w:r>
          </w:p>
        </w:tc>
        <w:tc>
          <w:tcPr>
            <w:tcW w:w="1128" w:type="dxa"/>
            <w:tcBorders>
              <w:top w:val="nil"/>
              <w:left w:val="nil"/>
              <w:bottom w:val="nil"/>
              <w:right w:val="nil"/>
            </w:tcBorders>
            <w:shd w:val="clear" w:color="000000" w:fill="FFFFFF"/>
            <w:vAlign w:val="center"/>
          </w:tcPr>
          <w:p w14:paraId="227F1352" w14:textId="6B31CA92" w:rsidR="008869A4" w:rsidRPr="00A22D23" w:rsidRDefault="008869A4" w:rsidP="002E6B78">
            <w:pPr>
              <w:jc w:val="center"/>
              <w:rPr>
                <w:color w:val="000000"/>
                <w:sz w:val="20"/>
              </w:rPr>
            </w:pPr>
            <w:r>
              <w:rPr>
                <w:color w:val="000000"/>
                <w:sz w:val="20"/>
              </w:rPr>
              <w:t>20 (</w:t>
            </w:r>
            <w:r w:rsidR="002E6B78">
              <w:rPr>
                <w:color w:val="000000"/>
                <w:sz w:val="20"/>
              </w:rPr>
              <w:t>16)</w:t>
            </w:r>
          </w:p>
        </w:tc>
        <w:tc>
          <w:tcPr>
            <w:tcW w:w="1572" w:type="dxa"/>
            <w:tcBorders>
              <w:top w:val="nil"/>
              <w:left w:val="nil"/>
              <w:bottom w:val="nil"/>
              <w:right w:val="nil"/>
            </w:tcBorders>
            <w:shd w:val="clear" w:color="000000" w:fill="FFFFFF"/>
            <w:vAlign w:val="center"/>
          </w:tcPr>
          <w:p w14:paraId="001508C2" w14:textId="3F18FB90" w:rsidR="008869A4" w:rsidRPr="00A22D23" w:rsidRDefault="008869A4" w:rsidP="002E6B78">
            <w:pPr>
              <w:jc w:val="center"/>
              <w:rPr>
                <w:color w:val="000000"/>
                <w:sz w:val="20"/>
              </w:rPr>
            </w:pPr>
            <w:r>
              <w:rPr>
                <w:color w:val="000000"/>
                <w:sz w:val="20"/>
              </w:rPr>
              <w:t>8</w:t>
            </w:r>
            <w:r w:rsidR="002E6B78">
              <w:rPr>
                <w:color w:val="000000"/>
                <w:sz w:val="20"/>
              </w:rPr>
              <w:t xml:space="preserve"> (9)</w:t>
            </w:r>
          </w:p>
        </w:tc>
        <w:tc>
          <w:tcPr>
            <w:tcW w:w="1283" w:type="dxa"/>
            <w:tcBorders>
              <w:top w:val="nil"/>
              <w:left w:val="nil"/>
              <w:bottom w:val="nil"/>
              <w:right w:val="nil"/>
            </w:tcBorders>
            <w:shd w:val="clear" w:color="000000" w:fill="FFFFFF"/>
            <w:vAlign w:val="center"/>
          </w:tcPr>
          <w:p w14:paraId="41FDB765" w14:textId="475C4998" w:rsidR="008869A4" w:rsidRPr="00A22D23" w:rsidRDefault="008869A4" w:rsidP="002E6B78">
            <w:pPr>
              <w:jc w:val="center"/>
              <w:rPr>
                <w:color w:val="000000"/>
                <w:sz w:val="20"/>
              </w:rPr>
            </w:pPr>
            <w:r>
              <w:rPr>
                <w:color w:val="000000"/>
                <w:sz w:val="20"/>
              </w:rPr>
              <w:t>8</w:t>
            </w:r>
            <w:r w:rsidR="002E6B78">
              <w:rPr>
                <w:color w:val="000000"/>
                <w:sz w:val="20"/>
              </w:rPr>
              <w:t xml:space="preserve"> (7)</w:t>
            </w:r>
          </w:p>
        </w:tc>
        <w:tc>
          <w:tcPr>
            <w:tcW w:w="839" w:type="dxa"/>
            <w:tcBorders>
              <w:top w:val="nil"/>
              <w:left w:val="nil"/>
              <w:bottom w:val="nil"/>
              <w:right w:val="nil"/>
            </w:tcBorders>
            <w:shd w:val="clear" w:color="000000" w:fill="FFFFFF"/>
            <w:vAlign w:val="center"/>
          </w:tcPr>
          <w:p w14:paraId="3D716B05" w14:textId="5EAD7066" w:rsidR="008869A4" w:rsidRPr="00A22D23" w:rsidRDefault="008869A4" w:rsidP="002E6B78">
            <w:pPr>
              <w:jc w:val="center"/>
              <w:rPr>
                <w:color w:val="000000"/>
                <w:sz w:val="20"/>
              </w:rPr>
            </w:pPr>
            <w:r>
              <w:rPr>
                <w:color w:val="000000"/>
                <w:sz w:val="20"/>
              </w:rPr>
              <w:t>14</w:t>
            </w:r>
            <w:r w:rsidR="002E6B78">
              <w:rPr>
                <w:color w:val="000000"/>
                <w:sz w:val="20"/>
              </w:rPr>
              <w:t xml:space="preserve"> (11)</w:t>
            </w:r>
          </w:p>
        </w:tc>
        <w:tc>
          <w:tcPr>
            <w:tcW w:w="1339" w:type="dxa"/>
            <w:tcBorders>
              <w:top w:val="nil"/>
              <w:left w:val="nil"/>
              <w:bottom w:val="nil"/>
              <w:right w:val="nil"/>
            </w:tcBorders>
            <w:shd w:val="clear" w:color="000000" w:fill="FFFFFF"/>
            <w:vAlign w:val="center"/>
          </w:tcPr>
          <w:p w14:paraId="43237150" w14:textId="61537CA8" w:rsidR="008869A4" w:rsidRPr="00A22D23" w:rsidRDefault="008869A4" w:rsidP="002E6B78">
            <w:pPr>
              <w:jc w:val="center"/>
              <w:rPr>
                <w:color w:val="000000"/>
                <w:sz w:val="20"/>
              </w:rPr>
            </w:pPr>
            <w:r>
              <w:rPr>
                <w:color w:val="000000"/>
                <w:sz w:val="20"/>
              </w:rPr>
              <w:t>21</w:t>
            </w:r>
            <w:r w:rsidR="002E6B78">
              <w:rPr>
                <w:color w:val="000000"/>
                <w:sz w:val="20"/>
              </w:rPr>
              <w:t xml:space="preserve"> (24)</w:t>
            </w:r>
          </w:p>
        </w:tc>
        <w:tc>
          <w:tcPr>
            <w:tcW w:w="1083" w:type="dxa"/>
            <w:tcBorders>
              <w:top w:val="nil"/>
              <w:left w:val="nil"/>
              <w:bottom w:val="nil"/>
              <w:right w:val="nil"/>
            </w:tcBorders>
            <w:shd w:val="clear" w:color="000000" w:fill="FFFFFF"/>
            <w:vAlign w:val="center"/>
          </w:tcPr>
          <w:p w14:paraId="41BEE361" w14:textId="6515D429" w:rsidR="008869A4" w:rsidRPr="00A22D23" w:rsidRDefault="008869A4" w:rsidP="002E6B78">
            <w:pPr>
              <w:jc w:val="center"/>
              <w:rPr>
                <w:color w:val="000000"/>
                <w:sz w:val="20"/>
              </w:rPr>
            </w:pPr>
            <w:r>
              <w:rPr>
                <w:color w:val="000000"/>
                <w:sz w:val="20"/>
              </w:rPr>
              <w:t>9</w:t>
            </w:r>
            <w:r w:rsidR="002E6B78">
              <w:rPr>
                <w:color w:val="000000"/>
                <w:sz w:val="20"/>
              </w:rPr>
              <w:t xml:space="preserve"> (10)</w:t>
            </w:r>
          </w:p>
        </w:tc>
      </w:tr>
      <w:tr w:rsidR="002E6B78" w:rsidRPr="00A22D23" w14:paraId="22116BB5" w14:textId="77777777" w:rsidTr="006A1058">
        <w:trPr>
          <w:trHeight w:val="600"/>
        </w:trPr>
        <w:tc>
          <w:tcPr>
            <w:tcW w:w="2000" w:type="dxa"/>
            <w:tcBorders>
              <w:top w:val="nil"/>
              <w:left w:val="nil"/>
              <w:bottom w:val="nil"/>
              <w:right w:val="nil"/>
            </w:tcBorders>
            <w:shd w:val="clear" w:color="000000" w:fill="FFFFFF"/>
            <w:vAlign w:val="center"/>
          </w:tcPr>
          <w:p w14:paraId="65FEF877" w14:textId="436073E8" w:rsidR="002E6B78" w:rsidRDefault="002E6B78" w:rsidP="002E6B78">
            <w:pPr>
              <w:rPr>
                <w:color w:val="000000"/>
                <w:sz w:val="20"/>
              </w:rPr>
            </w:pPr>
            <w:r>
              <w:rPr>
                <w:color w:val="000000"/>
                <w:sz w:val="20"/>
              </w:rPr>
              <w:t>Employment density range [ppl/acre]</w:t>
            </w:r>
          </w:p>
        </w:tc>
        <w:tc>
          <w:tcPr>
            <w:tcW w:w="1128" w:type="dxa"/>
            <w:tcBorders>
              <w:top w:val="nil"/>
              <w:left w:val="nil"/>
              <w:bottom w:val="nil"/>
              <w:right w:val="nil"/>
            </w:tcBorders>
            <w:shd w:val="clear" w:color="000000" w:fill="FFFFFF"/>
            <w:vAlign w:val="center"/>
          </w:tcPr>
          <w:p w14:paraId="018EE7F8" w14:textId="3CBA25BA" w:rsidR="002E6B78" w:rsidRPr="00A22D23" w:rsidRDefault="002E6B78" w:rsidP="002E6B78">
            <w:pPr>
              <w:jc w:val="center"/>
              <w:rPr>
                <w:color w:val="000000"/>
                <w:sz w:val="20"/>
              </w:rPr>
            </w:pPr>
            <w:r>
              <w:rPr>
                <w:color w:val="000000"/>
                <w:sz w:val="20"/>
              </w:rPr>
              <w:t>[0,579]</w:t>
            </w:r>
          </w:p>
        </w:tc>
        <w:tc>
          <w:tcPr>
            <w:tcW w:w="1572" w:type="dxa"/>
            <w:tcBorders>
              <w:top w:val="nil"/>
              <w:left w:val="nil"/>
              <w:bottom w:val="nil"/>
              <w:right w:val="nil"/>
            </w:tcBorders>
            <w:shd w:val="clear" w:color="000000" w:fill="FFFFFF"/>
            <w:vAlign w:val="center"/>
          </w:tcPr>
          <w:p w14:paraId="6265B66F" w14:textId="076A0F44" w:rsidR="002E6B78" w:rsidRPr="00A22D23" w:rsidRDefault="002E6B78" w:rsidP="002E6B78">
            <w:pPr>
              <w:jc w:val="center"/>
              <w:rPr>
                <w:color w:val="000000"/>
                <w:sz w:val="20"/>
              </w:rPr>
            </w:pPr>
            <w:r>
              <w:rPr>
                <w:color w:val="000000"/>
                <w:sz w:val="20"/>
              </w:rPr>
              <w:t>[0,354]</w:t>
            </w:r>
          </w:p>
        </w:tc>
        <w:tc>
          <w:tcPr>
            <w:tcW w:w="1283" w:type="dxa"/>
            <w:tcBorders>
              <w:top w:val="nil"/>
              <w:left w:val="nil"/>
              <w:bottom w:val="nil"/>
              <w:right w:val="nil"/>
            </w:tcBorders>
            <w:shd w:val="clear" w:color="000000" w:fill="FFFFFF"/>
            <w:vAlign w:val="center"/>
          </w:tcPr>
          <w:p w14:paraId="7314BA02" w14:textId="39D66F1E" w:rsidR="002E6B78" w:rsidRPr="00A22D23" w:rsidRDefault="002E6B78" w:rsidP="002E6B78">
            <w:pPr>
              <w:jc w:val="center"/>
              <w:rPr>
                <w:color w:val="000000"/>
                <w:sz w:val="20"/>
              </w:rPr>
            </w:pPr>
            <w:r>
              <w:rPr>
                <w:color w:val="000000"/>
                <w:sz w:val="20"/>
              </w:rPr>
              <w:t>[0,251]</w:t>
            </w:r>
          </w:p>
        </w:tc>
        <w:tc>
          <w:tcPr>
            <w:tcW w:w="839" w:type="dxa"/>
            <w:tcBorders>
              <w:top w:val="nil"/>
              <w:left w:val="nil"/>
              <w:bottom w:val="nil"/>
              <w:right w:val="nil"/>
            </w:tcBorders>
            <w:shd w:val="clear" w:color="000000" w:fill="FFFFFF"/>
            <w:vAlign w:val="center"/>
          </w:tcPr>
          <w:p w14:paraId="7D30C36D" w14:textId="7CADB8C4" w:rsidR="002E6B78" w:rsidRPr="00A22D23" w:rsidRDefault="002E6B78" w:rsidP="002E6B78">
            <w:pPr>
              <w:jc w:val="center"/>
              <w:rPr>
                <w:color w:val="000000"/>
                <w:sz w:val="20"/>
              </w:rPr>
            </w:pPr>
            <w:r>
              <w:rPr>
                <w:color w:val="000000"/>
                <w:sz w:val="20"/>
              </w:rPr>
              <w:t>[0,330]</w:t>
            </w:r>
          </w:p>
        </w:tc>
        <w:tc>
          <w:tcPr>
            <w:tcW w:w="1339" w:type="dxa"/>
            <w:tcBorders>
              <w:top w:val="nil"/>
              <w:left w:val="nil"/>
              <w:bottom w:val="nil"/>
              <w:right w:val="nil"/>
            </w:tcBorders>
            <w:shd w:val="clear" w:color="000000" w:fill="FFFFFF"/>
            <w:vAlign w:val="center"/>
          </w:tcPr>
          <w:p w14:paraId="52C63198" w14:textId="016587D9" w:rsidR="002E6B78" w:rsidRPr="00A22D23" w:rsidRDefault="002E6B78" w:rsidP="002E6B78">
            <w:pPr>
              <w:jc w:val="center"/>
              <w:rPr>
                <w:color w:val="000000"/>
                <w:sz w:val="20"/>
              </w:rPr>
            </w:pPr>
            <w:r>
              <w:rPr>
                <w:color w:val="000000"/>
                <w:sz w:val="20"/>
              </w:rPr>
              <w:t>[0,900]</w:t>
            </w:r>
          </w:p>
        </w:tc>
        <w:tc>
          <w:tcPr>
            <w:tcW w:w="1083" w:type="dxa"/>
            <w:tcBorders>
              <w:top w:val="nil"/>
              <w:left w:val="nil"/>
              <w:bottom w:val="nil"/>
              <w:right w:val="nil"/>
            </w:tcBorders>
            <w:shd w:val="clear" w:color="000000" w:fill="FFFFFF"/>
            <w:vAlign w:val="center"/>
          </w:tcPr>
          <w:p w14:paraId="18697DF2" w14:textId="0327ED8D" w:rsidR="002E6B78" w:rsidRPr="00A22D23" w:rsidRDefault="002E6B78" w:rsidP="002E6B78">
            <w:pPr>
              <w:jc w:val="center"/>
              <w:rPr>
                <w:color w:val="000000"/>
                <w:sz w:val="20"/>
              </w:rPr>
            </w:pPr>
            <w:r>
              <w:rPr>
                <w:color w:val="000000"/>
                <w:sz w:val="20"/>
              </w:rPr>
              <w:t>[0,1120]</w:t>
            </w:r>
          </w:p>
        </w:tc>
      </w:tr>
      <w:tr w:rsidR="002E6B78" w:rsidRPr="00A22D23" w14:paraId="4E8F2EB0" w14:textId="77777777" w:rsidTr="006A1058">
        <w:trPr>
          <w:trHeight w:val="600"/>
        </w:trPr>
        <w:tc>
          <w:tcPr>
            <w:tcW w:w="2000" w:type="dxa"/>
            <w:tcBorders>
              <w:top w:val="nil"/>
              <w:left w:val="nil"/>
              <w:bottom w:val="nil"/>
              <w:right w:val="nil"/>
            </w:tcBorders>
            <w:shd w:val="clear" w:color="000000" w:fill="FFFFFF"/>
            <w:vAlign w:val="center"/>
          </w:tcPr>
          <w:p w14:paraId="12AC2FF6" w14:textId="526BB8E9" w:rsidR="002E6B78" w:rsidRDefault="002E6B78" w:rsidP="002E6B78">
            <w:pPr>
              <w:rPr>
                <w:color w:val="000000"/>
                <w:sz w:val="20"/>
              </w:rPr>
            </w:pPr>
            <w:r>
              <w:rPr>
                <w:color w:val="000000"/>
                <w:sz w:val="20"/>
              </w:rPr>
              <w:t>Employment density mean [ppl/acre] (std. deviation)</w:t>
            </w:r>
          </w:p>
        </w:tc>
        <w:tc>
          <w:tcPr>
            <w:tcW w:w="1128" w:type="dxa"/>
            <w:tcBorders>
              <w:top w:val="nil"/>
              <w:left w:val="nil"/>
              <w:bottom w:val="nil"/>
              <w:right w:val="nil"/>
            </w:tcBorders>
            <w:shd w:val="clear" w:color="000000" w:fill="FFFFFF"/>
            <w:vAlign w:val="center"/>
          </w:tcPr>
          <w:p w14:paraId="72B8BAB1" w14:textId="29D3B50B" w:rsidR="002E6B78" w:rsidRPr="00A22D23" w:rsidRDefault="002E6B78" w:rsidP="002E6B78">
            <w:pPr>
              <w:jc w:val="center"/>
              <w:rPr>
                <w:color w:val="000000"/>
                <w:sz w:val="20"/>
              </w:rPr>
            </w:pPr>
            <w:r>
              <w:rPr>
                <w:color w:val="000000"/>
                <w:sz w:val="20"/>
              </w:rPr>
              <w:t>14 (5)</w:t>
            </w:r>
          </w:p>
        </w:tc>
        <w:tc>
          <w:tcPr>
            <w:tcW w:w="1572" w:type="dxa"/>
            <w:tcBorders>
              <w:top w:val="nil"/>
              <w:left w:val="nil"/>
              <w:bottom w:val="nil"/>
              <w:right w:val="nil"/>
            </w:tcBorders>
            <w:shd w:val="clear" w:color="000000" w:fill="FFFFFF"/>
            <w:vAlign w:val="center"/>
          </w:tcPr>
          <w:p w14:paraId="33DF1FB3" w14:textId="5D07EE66" w:rsidR="002E6B78" w:rsidRPr="00A22D23" w:rsidRDefault="002E6B78" w:rsidP="002E6B78">
            <w:pPr>
              <w:jc w:val="center"/>
              <w:rPr>
                <w:color w:val="000000"/>
                <w:sz w:val="20"/>
              </w:rPr>
            </w:pPr>
            <w:r>
              <w:rPr>
                <w:color w:val="000000"/>
                <w:sz w:val="20"/>
              </w:rPr>
              <w:t>16 (4)</w:t>
            </w:r>
          </w:p>
        </w:tc>
        <w:tc>
          <w:tcPr>
            <w:tcW w:w="1283" w:type="dxa"/>
            <w:tcBorders>
              <w:top w:val="nil"/>
              <w:left w:val="nil"/>
              <w:bottom w:val="nil"/>
              <w:right w:val="nil"/>
            </w:tcBorders>
            <w:shd w:val="clear" w:color="000000" w:fill="FFFFFF"/>
            <w:vAlign w:val="center"/>
          </w:tcPr>
          <w:p w14:paraId="11CFD233" w14:textId="4313E818" w:rsidR="002E6B78" w:rsidRPr="00A22D23" w:rsidRDefault="002E6B78" w:rsidP="002E6B78">
            <w:pPr>
              <w:jc w:val="center"/>
              <w:rPr>
                <w:color w:val="000000"/>
                <w:sz w:val="20"/>
              </w:rPr>
            </w:pPr>
            <w:r>
              <w:rPr>
                <w:color w:val="000000"/>
                <w:sz w:val="20"/>
              </w:rPr>
              <w:t>14 (4)</w:t>
            </w:r>
          </w:p>
        </w:tc>
        <w:tc>
          <w:tcPr>
            <w:tcW w:w="839" w:type="dxa"/>
            <w:tcBorders>
              <w:top w:val="nil"/>
              <w:left w:val="nil"/>
              <w:bottom w:val="nil"/>
              <w:right w:val="nil"/>
            </w:tcBorders>
            <w:shd w:val="clear" w:color="000000" w:fill="FFFFFF"/>
            <w:vAlign w:val="center"/>
          </w:tcPr>
          <w:p w14:paraId="6CBF9C88" w14:textId="74B57AFD" w:rsidR="002E6B78" w:rsidRPr="00A22D23" w:rsidRDefault="002E6B78" w:rsidP="002E6B78">
            <w:pPr>
              <w:jc w:val="center"/>
              <w:rPr>
                <w:color w:val="000000"/>
                <w:sz w:val="20"/>
              </w:rPr>
            </w:pPr>
            <w:r>
              <w:rPr>
                <w:color w:val="000000"/>
                <w:sz w:val="20"/>
              </w:rPr>
              <w:t>12 (4)</w:t>
            </w:r>
          </w:p>
        </w:tc>
        <w:tc>
          <w:tcPr>
            <w:tcW w:w="1339" w:type="dxa"/>
            <w:tcBorders>
              <w:top w:val="nil"/>
              <w:left w:val="nil"/>
              <w:bottom w:val="nil"/>
              <w:right w:val="nil"/>
            </w:tcBorders>
            <w:shd w:val="clear" w:color="000000" w:fill="FFFFFF"/>
            <w:vAlign w:val="center"/>
          </w:tcPr>
          <w:p w14:paraId="0DE4FB7B" w14:textId="0CE9443B" w:rsidR="002E6B78" w:rsidRPr="00A22D23" w:rsidRDefault="002E6B78" w:rsidP="002E6B78">
            <w:pPr>
              <w:jc w:val="center"/>
              <w:rPr>
                <w:color w:val="000000"/>
                <w:sz w:val="20"/>
              </w:rPr>
            </w:pPr>
            <w:r>
              <w:rPr>
                <w:color w:val="000000"/>
                <w:sz w:val="20"/>
              </w:rPr>
              <w:t>36 (8)</w:t>
            </w:r>
          </w:p>
        </w:tc>
        <w:tc>
          <w:tcPr>
            <w:tcW w:w="1083" w:type="dxa"/>
            <w:tcBorders>
              <w:top w:val="nil"/>
              <w:left w:val="nil"/>
              <w:bottom w:val="nil"/>
              <w:right w:val="nil"/>
            </w:tcBorders>
            <w:shd w:val="clear" w:color="000000" w:fill="FFFFFF"/>
            <w:vAlign w:val="center"/>
          </w:tcPr>
          <w:p w14:paraId="24904AB8" w14:textId="41FBCA63" w:rsidR="002E6B78" w:rsidRPr="00A22D23" w:rsidRDefault="002E6B78" w:rsidP="002E6B78">
            <w:pPr>
              <w:jc w:val="center"/>
              <w:rPr>
                <w:color w:val="000000"/>
                <w:sz w:val="20"/>
              </w:rPr>
            </w:pPr>
            <w:r>
              <w:rPr>
                <w:color w:val="000000"/>
                <w:sz w:val="20"/>
              </w:rPr>
              <w:t>29 (5)</w:t>
            </w:r>
          </w:p>
        </w:tc>
      </w:tr>
      <w:tr w:rsidR="002E6B78" w:rsidRPr="00A22D23" w14:paraId="637426A0" w14:textId="77777777" w:rsidTr="006A1058">
        <w:trPr>
          <w:trHeight w:val="600"/>
        </w:trPr>
        <w:tc>
          <w:tcPr>
            <w:tcW w:w="2000" w:type="dxa"/>
            <w:tcBorders>
              <w:top w:val="nil"/>
              <w:left w:val="nil"/>
              <w:bottom w:val="nil"/>
              <w:right w:val="nil"/>
            </w:tcBorders>
            <w:shd w:val="clear" w:color="000000" w:fill="FFFFFF"/>
            <w:vAlign w:val="center"/>
          </w:tcPr>
          <w:p w14:paraId="3262609E" w14:textId="0F96A88D" w:rsidR="002E6B78" w:rsidRDefault="002E6B78" w:rsidP="002E6B78">
            <w:pPr>
              <w:rPr>
                <w:color w:val="000000"/>
                <w:sz w:val="20"/>
              </w:rPr>
            </w:pPr>
            <w:r>
              <w:rPr>
                <w:color w:val="000000"/>
                <w:sz w:val="20"/>
              </w:rPr>
              <w:t>ULI range [ppl/acre]</w:t>
            </w:r>
          </w:p>
        </w:tc>
        <w:tc>
          <w:tcPr>
            <w:tcW w:w="1128" w:type="dxa"/>
            <w:tcBorders>
              <w:top w:val="nil"/>
              <w:left w:val="nil"/>
              <w:bottom w:val="nil"/>
              <w:right w:val="nil"/>
            </w:tcBorders>
            <w:shd w:val="clear" w:color="000000" w:fill="FFFFFF"/>
            <w:vAlign w:val="center"/>
          </w:tcPr>
          <w:p w14:paraId="03214D9E" w14:textId="1DAE202E" w:rsidR="002E6B78" w:rsidRPr="00A22D23" w:rsidRDefault="002E6B78" w:rsidP="002E6B78">
            <w:pPr>
              <w:jc w:val="center"/>
              <w:rPr>
                <w:color w:val="000000"/>
                <w:sz w:val="20"/>
              </w:rPr>
            </w:pPr>
            <w:r>
              <w:rPr>
                <w:color w:val="000000"/>
                <w:sz w:val="20"/>
              </w:rPr>
              <w:t>[0,66]</w:t>
            </w:r>
          </w:p>
        </w:tc>
        <w:tc>
          <w:tcPr>
            <w:tcW w:w="1572" w:type="dxa"/>
            <w:tcBorders>
              <w:top w:val="nil"/>
              <w:left w:val="nil"/>
              <w:bottom w:val="nil"/>
              <w:right w:val="nil"/>
            </w:tcBorders>
            <w:shd w:val="clear" w:color="000000" w:fill="FFFFFF"/>
            <w:vAlign w:val="center"/>
          </w:tcPr>
          <w:p w14:paraId="2FAB4D10" w14:textId="3350924B" w:rsidR="002E6B78" w:rsidRPr="00A22D23" w:rsidRDefault="002E6B78" w:rsidP="009A027E">
            <w:pPr>
              <w:jc w:val="center"/>
              <w:rPr>
                <w:color w:val="000000"/>
                <w:sz w:val="20"/>
              </w:rPr>
            </w:pPr>
            <w:r>
              <w:rPr>
                <w:color w:val="000000"/>
                <w:sz w:val="20"/>
              </w:rPr>
              <w:t>[0,</w:t>
            </w:r>
            <w:r w:rsidR="009A027E">
              <w:rPr>
                <w:color w:val="000000"/>
                <w:sz w:val="20"/>
              </w:rPr>
              <w:t>127</w:t>
            </w:r>
            <w:r>
              <w:rPr>
                <w:color w:val="000000"/>
                <w:sz w:val="20"/>
              </w:rPr>
              <w:t>]</w:t>
            </w:r>
          </w:p>
        </w:tc>
        <w:tc>
          <w:tcPr>
            <w:tcW w:w="1283" w:type="dxa"/>
            <w:tcBorders>
              <w:top w:val="nil"/>
              <w:left w:val="nil"/>
              <w:bottom w:val="nil"/>
              <w:right w:val="nil"/>
            </w:tcBorders>
            <w:shd w:val="clear" w:color="000000" w:fill="FFFFFF"/>
            <w:vAlign w:val="center"/>
          </w:tcPr>
          <w:p w14:paraId="59B82E2A" w14:textId="72D1E97F" w:rsidR="002E6B78" w:rsidRPr="00A22D23" w:rsidRDefault="002E6B78" w:rsidP="009A027E">
            <w:pPr>
              <w:jc w:val="center"/>
              <w:rPr>
                <w:color w:val="000000"/>
                <w:sz w:val="20"/>
              </w:rPr>
            </w:pPr>
            <w:r>
              <w:rPr>
                <w:color w:val="000000"/>
                <w:sz w:val="20"/>
              </w:rPr>
              <w:t>[0,</w:t>
            </w:r>
            <w:r w:rsidR="009A027E">
              <w:rPr>
                <w:color w:val="000000"/>
                <w:sz w:val="20"/>
              </w:rPr>
              <w:t>56</w:t>
            </w:r>
            <w:r>
              <w:rPr>
                <w:color w:val="000000"/>
                <w:sz w:val="20"/>
              </w:rPr>
              <w:t>]</w:t>
            </w:r>
          </w:p>
        </w:tc>
        <w:tc>
          <w:tcPr>
            <w:tcW w:w="839" w:type="dxa"/>
            <w:tcBorders>
              <w:top w:val="nil"/>
              <w:left w:val="nil"/>
              <w:bottom w:val="nil"/>
              <w:right w:val="nil"/>
            </w:tcBorders>
            <w:shd w:val="clear" w:color="000000" w:fill="FFFFFF"/>
            <w:vAlign w:val="center"/>
          </w:tcPr>
          <w:p w14:paraId="09CFD974" w14:textId="031777F9" w:rsidR="002E6B78" w:rsidRPr="00A22D23" w:rsidRDefault="002E6B78" w:rsidP="009A027E">
            <w:pPr>
              <w:jc w:val="center"/>
              <w:rPr>
                <w:color w:val="000000"/>
                <w:sz w:val="20"/>
              </w:rPr>
            </w:pPr>
            <w:r>
              <w:rPr>
                <w:color w:val="000000"/>
                <w:sz w:val="20"/>
              </w:rPr>
              <w:t>[0,</w:t>
            </w:r>
            <w:r w:rsidR="009A027E">
              <w:rPr>
                <w:color w:val="000000"/>
                <w:sz w:val="20"/>
              </w:rPr>
              <w:t>73</w:t>
            </w:r>
            <w:r>
              <w:rPr>
                <w:color w:val="000000"/>
                <w:sz w:val="20"/>
              </w:rPr>
              <w:t>]</w:t>
            </w:r>
          </w:p>
        </w:tc>
        <w:tc>
          <w:tcPr>
            <w:tcW w:w="1339" w:type="dxa"/>
            <w:tcBorders>
              <w:top w:val="nil"/>
              <w:left w:val="nil"/>
              <w:bottom w:val="nil"/>
              <w:right w:val="nil"/>
            </w:tcBorders>
            <w:shd w:val="clear" w:color="000000" w:fill="FFFFFF"/>
            <w:vAlign w:val="center"/>
          </w:tcPr>
          <w:p w14:paraId="05D5E29A" w14:textId="01971CC1" w:rsidR="002E6B78" w:rsidRPr="00A22D23" w:rsidRDefault="002E6B78" w:rsidP="009A027E">
            <w:pPr>
              <w:jc w:val="center"/>
              <w:rPr>
                <w:color w:val="000000"/>
                <w:sz w:val="20"/>
              </w:rPr>
            </w:pPr>
            <w:r>
              <w:rPr>
                <w:color w:val="000000"/>
                <w:sz w:val="20"/>
              </w:rPr>
              <w:t>[0,</w:t>
            </w:r>
            <w:r w:rsidR="009A027E">
              <w:rPr>
                <w:color w:val="000000"/>
                <w:sz w:val="20"/>
              </w:rPr>
              <w:t>795</w:t>
            </w:r>
            <w:r>
              <w:rPr>
                <w:color w:val="000000"/>
                <w:sz w:val="20"/>
              </w:rPr>
              <w:t>]</w:t>
            </w:r>
          </w:p>
        </w:tc>
        <w:tc>
          <w:tcPr>
            <w:tcW w:w="1083" w:type="dxa"/>
            <w:tcBorders>
              <w:top w:val="nil"/>
              <w:left w:val="nil"/>
              <w:bottom w:val="nil"/>
              <w:right w:val="nil"/>
            </w:tcBorders>
            <w:shd w:val="clear" w:color="000000" w:fill="FFFFFF"/>
            <w:vAlign w:val="center"/>
          </w:tcPr>
          <w:p w14:paraId="7962EEE8" w14:textId="48B20F94" w:rsidR="002E6B78" w:rsidRPr="00A22D23" w:rsidRDefault="002E6B78" w:rsidP="009A027E">
            <w:pPr>
              <w:jc w:val="center"/>
              <w:rPr>
                <w:color w:val="000000"/>
                <w:sz w:val="20"/>
              </w:rPr>
            </w:pPr>
            <w:r>
              <w:rPr>
                <w:color w:val="000000"/>
                <w:sz w:val="20"/>
              </w:rPr>
              <w:t>[0,1</w:t>
            </w:r>
            <w:r w:rsidR="009A027E">
              <w:rPr>
                <w:color w:val="000000"/>
                <w:sz w:val="20"/>
              </w:rPr>
              <w:t>15</w:t>
            </w:r>
            <w:r>
              <w:rPr>
                <w:color w:val="000000"/>
                <w:sz w:val="20"/>
              </w:rPr>
              <w:t>]</w:t>
            </w:r>
          </w:p>
        </w:tc>
      </w:tr>
      <w:tr w:rsidR="002E6B78" w:rsidRPr="00A22D23" w14:paraId="41A37568" w14:textId="77777777" w:rsidTr="006A1058">
        <w:trPr>
          <w:trHeight w:val="600"/>
        </w:trPr>
        <w:tc>
          <w:tcPr>
            <w:tcW w:w="2000" w:type="dxa"/>
            <w:tcBorders>
              <w:top w:val="nil"/>
              <w:left w:val="nil"/>
              <w:bottom w:val="nil"/>
              <w:right w:val="nil"/>
            </w:tcBorders>
            <w:shd w:val="clear" w:color="000000" w:fill="FFFFFF"/>
            <w:vAlign w:val="center"/>
          </w:tcPr>
          <w:p w14:paraId="79FABB23" w14:textId="5DE79BFE" w:rsidR="002E6B78" w:rsidRDefault="002E6B78" w:rsidP="002E6B78">
            <w:pPr>
              <w:rPr>
                <w:color w:val="000000"/>
                <w:sz w:val="20"/>
              </w:rPr>
            </w:pPr>
            <w:r>
              <w:rPr>
                <w:color w:val="000000"/>
                <w:sz w:val="20"/>
              </w:rPr>
              <w:t>ULI mean [ppl/acre] (std. deviation)</w:t>
            </w:r>
          </w:p>
        </w:tc>
        <w:tc>
          <w:tcPr>
            <w:tcW w:w="1128" w:type="dxa"/>
            <w:tcBorders>
              <w:top w:val="nil"/>
              <w:left w:val="nil"/>
              <w:bottom w:val="nil"/>
              <w:right w:val="nil"/>
            </w:tcBorders>
            <w:shd w:val="clear" w:color="000000" w:fill="FFFFFF"/>
            <w:vAlign w:val="center"/>
          </w:tcPr>
          <w:p w14:paraId="22EA26F3" w14:textId="66667C43" w:rsidR="002E6B78" w:rsidRPr="00A22D23" w:rsidRDefault="009A027E" w:rsidP="009A027E">
            <w:pPr>
              <w:jc w:val="center"/>
              <w:rPr>
                <w:color w:val="000000"/>
                <w:sz w:val="20"/>
              </w:rPr>
            </w:pPr>
            <w:r>
              <w:rPr>
                <w:color w:val="000000"/>
                <w:sz w:val="20"/>
              </w:rPr>
              <w:t>1</w:t>
            </w:r>
            <w:r w:rsidR="002E6B78">
              <w:rPr>
                <w:color w:val="000000"/>
                <w:sz w:val="20"/>
              </w:rPr>
              <w:t xml:space="preserve"> (</w:t>
            </w:r>
            <w:r>
              <w:rPr>
                <w:color w:val="000000"/>
                <w:sz w:val="20"/>
              </w:rPr>
              <w:t>3</w:t>
            </w:r>
            <w:r w:rsidR="002E6B78">
              <w:rPr>
                <w:color w:val="000000"/>
                <w:sz w:val="20"/>
              </w:rPr>
              <w:t>)</w:t>
            </w:r>
          </w:p>
        </w:tc>
        <w:tc>
          <w:tcPr>
            <w:tcW w:w="1572" w:type="dxa"/>
            <w:tcBorders>
              <w:top w:val="nil"/>
              <w:left w:val="nil"/>
              <w:bottom w:val="nil"/>
              <w:right w:val="nil"/>
            </w:tcBorders>
            <w:shd w:val="clear" w:color="000000" w:fill="FFFFFF"/>
            <w:vAlign w:val="center"/>
          </w:tcPr>
          <w:p w14:paraId="0BE50E39" w14:textId="232DFAAF" w:rsidR="002E6B78" w:rsidRPr="00A22D23" w:rsidRDefault="009A027E" w:rsidP="009A027E">
            <w:pPr>
              <w:jc w:val="center"/>
              <w:rPr>
                <w:color w:val="000000"/>
                <w:sz w:val="20"/>
              </w:rPr>
            </w:pPr>
            <w:r>
              <w:rPr>
                <w:color w:val="000000"/>
                <w:sz w:val="20"/>
              </w:rPr>
              <w:t>1</w:t>
            </w:r>
            <w:r w:rsidR="002E6B78">
              <w:rPr>
                <w:color w:val="000000"/>
                <w:sz w:val="20"/>
              </w:rPr>
              <w:t xml:space="preserve"> (</w:t>
            </w:r>
            <w:r>
              <w:rPr>
                <w:color w:val="000000"/>
                <w:sz w:val="20"/>
              </w:rPr>
              <w:t>4</w:t>
            </w:r>
            <w:r w:rsidR="002E6B78">
              <w:rPr>
                <w:color w:val="000000"/>
                <w:sz w:val="20"/>
              </w:rPr>
              <w:t>)</w:t>
            </w:r>
          </w:p>
        </w:tc>
        <w:tc>
          <w:tcPr>
            <w:tcW w:w="1283" w:type="dxa"/>
            <w:tcBorders>
              <w:top w:val="nil"/>
              <w:left w:val="nil"/>
              <w:bottom w:val="nil"/>
              <w:right w:val="nil"/>
            </w:tcBorders>
            <w:shd w:val="clear" w:color="000000" w:fill="FFFFFF"/>
            <w:vAlign w:val="center"/>
          </w:tcPr>
          <w:p w14:paraId="6D5F614B" w14:textId="54EBBCF2" w:rsidR="002E6B78" w:rsidRPr="00A22D23" w:rsidRDefault="009A027E" w:rsidP="009A027E">
            <w:pPr>
              <w:jc w:val="center"/>
              <w:rPr>
                <w:color w:val="000000"/>
                <w:sz w:val="20"/>
              </w:rPr>
            </w:pPr>
            <w:r>
              <w:rPr>
                <w:color w:val="000000"/>
                <w:sz w:val="20"/>
              </w:rPr>
              <w:t>1</w:t>
            </w:r>
            <w:r w:rsidR="002E6B78">
              <w:rPr>
                <w:color w:val="000000"/>
                <w:sz w:val="20"/>
              </w:rPr>
              <w:t xml:space="preserve"> (</w:t>
            </w:r>
            <w:r>
              <w:rPr>
                <w:color w:val="000000"/>
                <w:sz w:val="20"/>
              </w:rPr>
              <w:t>3</w:t>
            </w:r>
            <w:r w:rsidR="002E6B78">
              <w:rPr>
                <w:color w:val="000000"/>
                <w:sz w:val="20"/>
              </w:rPr>
              <w:t>)</w:t>
            </w:r>
          </w:p>
        </w:tc>
        <w:tc>
          <w:tcPr>
            <w:tcW w:w="839" w:type="dxa"/>
            <w:tcBorders>
              <w:top w:val="nil"/>
              <w:left w:val="nil"/>
              <w:bottom w:val="nil"/>
              <w:right w:val="nil"/>
            </w:tcBorders>
            <w:shd w:val="clear" w:color="000000" w:fill="FFFFFF"/>
            <w:vAlign w:val="center"/>
          </w:tcPr>
          <w:p w14:paraId="7F246A1C" w14:textId="794447C6" w:rsidR="002E6B78" w:rsidRPr="00A22D23" w:rsidRDefault="009A027E" w:rsidP="009A027E">
            <w:pPr>
              <w:jc w:val="center"/>
              <w:rPr>
                <w:color w:val="000000"/>
                <w:sz w:val="20"/>
              </w:rPr>
            </w:pPr>
            <w:r>
              <w:rPr>
                <w:color w:val="000000"/>
                <w:sz w:val="20"/>
              </w:rPr>
              <w:t>1</w:t>
            </w:r>
            <w:r w:rsidR="002E6B78">
              <w:rPr>
                <w:color w:val="000000"/>
                <w:sz w:val="20"/>
              </w:rPr>
              <w:t xml:space="preserve"> (</w:t>
            </w:r>
            <w:r>
              <w:rPr>
                <w:color w:val="000000"/>
                <w:sz w:val="20"/>
              </w:rPr>
              <w:t>3</w:t>
            </w:r>
            <w:r w:rsidR="002E6B78">
              <w:rPr>
                <w:color w:val="000000"/>
                <w:sz w:val="20"/>
              </w:rPr>
              <w:t>)</w:t>
            </w:r>
          </w:p>
        </w:tc>
        <w:tc>
          <w:tcPr>
            <w:tcW w:w="1339" w:type="dxa"/>
            <w:tcBorders>
              <w:top w:val="nil"/>
              <w:left w:val="nil"/>
              <w:bottom w:val="nil"/>
              <w:right w:val="nil"/>
            </w:tcBorders>
            <w:shd w:val="clear" w:color="000000" w:fill="FFFFFF"/>
            <w:vAlign w:val="center"/>
          </w:tcPr>
          <w:p w14:paraId="3307BBB8" w14:textId="08C29734" w:rsidR="002E6B78" w:rsidRPr="00A22D23" w:rsidRDefault="009A027E" w:rsidP="002E6B78">
            <w:pPr>
              <w:jc w:val="center"/>
              <w:rPr>
                <w:color w:val="000000"/>
                <w:sz w:val="20"/>
              </w:rPr>
            </w:pPr>
            <w:r>
              <w:rPr>
                <w:color w:val="000000"/>
                <w:sz w:val="20"/>
              </w:rPr>
              <w:t>3</w:t>
            </w:r>
            <w:r w:rsidR="002E6B78">
              <w:rPr>
                <w:color w:val="000000"/>
                <w:sz w:val="20"/>
              </w:rPr>
              <w:t xml:space="preserve"> (24)</w:t>
            </w:r>
          </w:p>
        </w:tc>
        <w:tc>
          <w:tcPr>
            <w:tcW w:w="1083" w:type="dxa"/>
            <w:tcBorders>
              <w:top w:val="nil"/>
              <w:left w:val="nil"/>
              <w:bottom w:val="nil"/>
              <w:right w:val="nil"/>
            </w:tcBorders>
            <w:shd w:val="clear" w:color="000000" w:fill="FFFFFF"/>
            <w:vAlign w:val="center"/>
          </w:tcPr>
          <w:p w14:paraId="4AB94BF3" w14:textId="0A7CCA71" w:rsidR="002E6B78" w:rsidRPr="00A22D23" w:rsidRDefault="009A027E" w:rsidP="009A027E">
            <w:pPr>
              <w:jc w:val="center"/>
              <w:rPr>
                <w:color w:val="000000"/>
                <w:sz w:val="20"/>
              </w:rPr>
            </w:pPr>
            <w:r>
              <w:rPr>
                <w:color w:val="000000"/>
                <w:sz w:val="20"/>
              </w:rPr>
              <w:t>1</w:t>
            </w:r>
            <w:r w:rsidR="002E6B78">
              <w:rPr>
                <w:color w:val="000000"/>
                <w:sz w:val="20"/>
              </w:rPr>
              <w:t xml:space="preserve"> (</w:t>
            </w:r>
            <w:r>
              <w:rPr>
                <w:color w:val="000000"/>
                <w:sz w:val="20"/>
              </w:rPr>
              <w:t>4</w:t>
            </w:r>
            <w:r w:rsidR="002E6B78">
              <w:rPr>
                <w:color w:val="000000"/>
                <w:sz w:val="20"/>
              </w:rPr>
              <w:t>)</w:t>
            </w:r>
          </w:p>
        </w:tc>
      </w:tr>
      <w:tr w:rsidR="009A027E" w:rsidRPr="00A22D23" w14:paraId="7987455C" w14:textId="77777777" w:rsidTr="006A1058">
        <w:trPr>
          <w:trHeight w:val="600"/>
        </w:trPr>
        <w:tc>
          <w:tcPr>
            <w:tcW w:w="2000" w:type="dxa"/>
            <w:tcBorders>
              <w:top w:val="nil"/>
              <w:left w:val="nil"/>
              <w:bottom w:val="nil"/>
              <w:right w:val="nil"/>
            </w:tcBorders>
            <w:shd w:val="clear" w:color="000000" w:fill="FFFFFF"/>
            <w:vAlign w:val="center"/>
          </w:tcPr>
          <w:p w14:paraId="36DBDF3D" w14:textId="66C5CEFD" w:rsidR="009A027E" w:rsidRDefault="0017238E" w:rsidP="0017238E">
            <w:pPr>
              <w:rPr>
                <w:color w:val="000000"/>
                <w:sz w:val="20"/>
              </w:rPr>
            </w:pPr>
            <w:r>
              <w:rPr>
                <w:color w:val="000000"/>
                <w:sz w:val="20"/>
              </w:rPr>
              <w:t>Road network density</w:t>
            </w:r>
            <w:r w:rsidR="009A027E">
              <w:rPr>
                <w:color w:val="000000"/>
                <w:sz w:val="20"/>
              </w:rPr>
              <w:t xml:space="preserve"> range [</w:t>
            </w:r>
            <w:r w:rsidR="00500825">
              <w:rPr>
                <w:color w:val="000000"/>
                <w:sz w:val="20"/>
              </w:rPr>
              <w:t>miles/sq. miles</w:t>
            </w:r>
            <w:r w:rsidR="009A027E">
              <w:rPr>
                <w:color w:val="000000"/>
                <w:sz w:val="20"/>
              </w:rPr>
              <w:t>]</w:t>
            </w:r>
          </w:p>
        </w:tc>
        <w:tc>
          <w:tcPr>
            <w:tcW w:w="1128" w:type="dxa"/>
            <w:tcBorders>
              <w:top w:val="nil"/>
              <w:left w:val="nil"/>
              <w:bottom w:val="nil"/>
              <w:right w:val="nil"/>
            </w:tcBorders>
            <w:shd w:val="clear" w:color="000000" w:fill="FFFFFF"/>
            <w:vAlign w:val="center"/>
          </w:tcPr>
          <w:p w14:paraId="2C0FF370" w14:textId="64F667FB" w:rsidR="009A027E" w:rsidRPr="00A22D23" w:rsidRDefault="009A027E" w:rsidP="0017238E">
            <w:pPr>
              <w:jc w:val="center"/>
              <w:rPr>
                <w:color w:val="000000"/>
                <w:sz w:val="20"/>
              </w:rPr>
            </w:pPr>
            <w:r>
              <w:rPr>
                <w:color w:val="000000"/>
                <w:sz w:val="20"/>
              </w:rPr>
              <w:t>[0,6</w:t>
            </w:r>
            <w:r w:rsidR="0017238E">
              <w:rPr>
                <w:color w:val="000000"/>
                <w:sz w:val="20"/>
              </w:rPr>
              <w:t>9</w:t>
            </w:r>
            <w:r>
              <w:rPr>
                <w:color w:val="000000"/>
                <w:sz w:val="20"/>
              </w:rPr>
              <w:t>]</w:t>
            </w:r>
          </w:p>
        </w:tc>
        <w:tc>
          <w:tcPr>
            <w:tcW w:w="1572" w:type="dxa"/>
            <w:tcBorders>
              <w:top w:val="nil"/>
              <w:left w:val="nil"/>
              <w:bottom w:val="nil"/>
              <w:right w:val="nil"/>
            </w:tcBorders>
            <w:shd w:val="clear" w:color="000000" w:fill="FFFFFF"/>
            <w:vAlign w:val="center"/>
          </w:tcPr>
          <w:p w14:paraId="7AFAE614" w14:textId="72EA5A76" w:rsidR="009A027E" w:rsidRPr="00A22D23" w:rsidRDefault="009A027E" w:rsidP="0017238E">
            <w:pPr>
              <w:jc w:val="center"/>
              <w:rPr>
                <w:color w:val="000000"/>
                <w:sz w:val="20"/>
              </w:rPr>
            </w:pPr>
            <w:r>
              <w:rPr>
                <w:color w:val="000000"/>
                <w:sz w:val="20"/>
              </w:rPr>
              <w:t>[0,</w:t>
            </w:r>
            <w:r w:rsidR="0017238E">
              <w:rPr>
                <w:color w:val="000000"/>
                <w:sz w:val="20"/>
              </w:rPr>
              <w:t>55</w:t>
            </w:r>
            <w:r>
              <w:rPr>
                <w:color w:val="000000"/>
                <w:sz w:val="20"/>
              </w:rPr>
              <w:t>]</w:t>
            </w:r>
          </w:p>
        </w:tc>
        <w:tc>
          <w:tcPr>
            <w:tcW w:w="1283" w:type="dxa"/>
            <w:tcBorders>
              <w:top w:val="nil"/>
              <w:left w:val="nil"/>
              <w:bottom w:val="nil"/>
              <w:right w:val="nil"/>
            </w:tcBorders>
            <w:shd w:val="clear" w:color="000000" w:fill="FFFFFF"/>
            <w:vAlign w:val="center"/>
          </w:tcPr>
          <w:p w14:paraId="065977AB" w14:textId="7792A049" w:rsidR="009A027E" w:rsidRPr="00A22D23" w:rsidRDefault="009A027E" w:rsidP="0017238E">
            <w:pPr>
              <w:jc w:val="center"/>
              <w:rPr>
                <w:color w:val="000000"/>
                <w:sz w:val="20"/>
              </w:rPr>
            </w:pPr>
            <w:r>
              <w:rPr>
                <w:color w:val="000000"/>
                <w:sz w:val="20"/>
              </w:rPr>
              <w:t>[0,5</w:t>
            </w:r>
            <w:r w:rsidR="0017238E">
              <w:rPr>
                <w:color w:val="000000"/>
                <w:sz w:val="20"/>
              </w:rPr>
              <w:t>4</w:t>
            </w:r>
            <w:r>
              <w:rPr>
                <w:color w:val="000000"/>
                <w:sz w:val="20"/>
              </w:rPr>
              <w:t>]</w:t>
            </w:r>
          </w:p>
        </w:tc>
        <w:tc>
          <w:tcPr>
            <w:tcW w:w="839" w:type="dxa"/>
            <w:tcBorders>
              <w:top w:val="nil"/>
              <w:left w:val="nil"/>
              <w:bottom w:val="nil"/>
              <w:right w:val="nil"/>
            </w:tcBorders>
            <w:shd w:val="clear" w:color="000000" w:fill="FFFFFF"/>
            <w:vAlign w:val="center"/>
          </w:tcPr>
          <w:p w14:paraId="31508BE7" w14:textId="2D369CC3" w:rsidR="009A027E" w:rsidRPr="00A22D23" w:rsidRDefault="009A027E" w:rsidP="0017238E">
            <w:pPr>
              <w:jc w:val="center"/>
              <w:rPr>
                <w:color w:val="000000"/>
                <w:sz w:val="20"/>
              </w:rPr>
            </w:pPr>
            <w:r>
              <w:rPr>
                <w:color w:val="000000"/>
                <w:sz w:val="20"/>
              </w:rPr>
              <w:t>[0,</w:t>
            </w:r>
            <w:r w:rsidR="0017238E">
              <w:rPr>
                <w:color w:val="000000"/>
                <w:sz w:val="20"/>
              </w:rPr>
              <w:t>62</w:t>
            </w:r>
            <w:r>
              <w:rPr>
                <w:color w:val="000000"/>
                <w:sz w:val="20"/>
              </w:rPr>
              <w:t>]</w:t>
            </w:r>
          </w:p>
        </w:tc>
        <w:tc>
          <w:tcPr>
            <w:tcW w:w="1339" w:type="dxa"/>
            <w:tcBorders>
              <w:top w:val="nil"/>
              <w:left w:val="nil"/>
              <w:bottom w:val="nil"/>
              <w:right w:val="nil"/>
            </w:tcBorders>
            <w:shd w:val="clear" w:color="000000" w:fill="FFFFFF"/>
            <w:vAlign w:val="center"/>
          </w:tcPr>
          <w:p w14:paraId="7A13D9E8" w14:textId="3FC1C0D6" w:rsidR="009A027E" w:rsidRPr="00A22D23" w:rsidRDefault="009A027E" w:rsidP="0017238E">
            <w:pPr>
              <w:jc w:val="center"/>
              <w:rPr>
                <w:color w:val="000000"/>
                <w:sz w:val="20"/>
              </w:rPr>
            </w:pPr>
            <w:r>
              <w:rPr>
                <w:color w:val="000000"/>
                <w:sz w:val="20"/>
              </w:rPr>
              <w:t>[0,</w:t>
            </w:r>
            <w:r w:rsidR="0017238E">
              <w:rPr>
                <w:color w:val="000000"/>
                <w:sz w:val="20"/>
              </w:rPr>
              <w:t>65</w:t>
            </w:r>
            <w:r>
              <w:rPr>
                <w:color w:val="000000"/>
                <w:sz w:val="20"/>
              </w:rPr>
              <w:t>]</w:t>
            </w:r>
          </w:p>
        </w:tc>
        <w:tc>
          <w:tcPr>
            <w:tcW w:w="1083" w:type="dxa"/>
            <w:tcBorders>
              <w:top w:val="nil"/>
              <w:left w:val="nil"/>
              <w:bottom w:val="nil"/>
              <w:right w:val="nil"/>
            </w:tcBorders>
            <w:shd w:val="clear" w:color="000000" w:fill="FFFFFF"/>
            <w:vAlign w:val="center"/>
          </w:tcPr>
          <w:p w14:paraId="669B93F0" w14:textId="19624B86" w:rsidR="009A027E" w:rsidRPr="00A22D23" w:rsidRDefault="009A027E" w:rsidP="0017238E">
            <w:pPr>
              <w:jc w:val="center"/>
              <w:rPr>
                <w:color w:val="000000"/>
                <w:sz w:val="20"/>
              </w:rPr>
            </w:pPr>
            <w:r>
              <w:rPr>
                <w:color w:val="000000"/>
                <w:sz w:val="20"/>
              </w:rPr>
              <w:t>[0,</w:t>
            </w:r>
            <w:r w:rsidR="0017238E">
              <w:rPr>
                <w:color w:val="000000"/>
                <w:sz w:val="20"/>
              </w:rPr>
              <w:t>86</w:t>
            </w:r>
            <w:r>
              <w:rPr>
                <w:color w:val="000000"/>
                <w:sz w:val="20"/>
              </w:rPr>
              <w:t>]</w:t>
            </w:r>
          </w:p>
        </w:tc>
      </w:tr>
      <w:tr w:rsidR="009A027E" w:rsidRPr="00A22D23" w14:paraId="7FC48D01" w14:textId="77777777" w:rsidTr="006A1058">
        <w:trPr>
          <w:trHeight w:val="600"/>
        </w:trPr>
        <w:tc>
          <w:tcPr>
            <w:tcW w:w="2000" w:type="dxa"/>
            <w:tcBorders>
              <w:top w:val="nil"/>
              <w:left w:val="nil"/>
              <w:bottom w:val="nil"/>
              <w:right w:val="nil"/>
            </w:tcBorders>
            <w:shd w:val="clear" w:color="000000" w:fill="FFFFFF"/>
            <w:vAlign w:val="center"/>
          </w:tcPr>
          <w:p w14:paraId="26B0042A" w14:textId="60D37D93" w:rsidR="009A027E" w:rsidRDefault="0017238E" w:rsidP="00500825">
            <w:pPr>
              <w:rPr>
                <w:color w:val="000000"/>
                <w:sz w:val="20"/>
              </w:rPr>
            </w:pPr>
            <w:r>
              <w:rPr>
                <w:color w:val="000000"/>
                <w:sz w:val="20"/>
              </w:rPr>
              <w:t>Road network density</w:t>
            </w:r>
            <w:r w:rsidR="009A027E">
              <w:rPr>
                <w:color w:val="000000"/>
                <w:sz w:val="20"/>
              </w:rPr>
              <w:t xml:space="preserve"> mean [</w:t>
            </w:r>
            <w:r w:rsidR="00500825">
              <w:rPr>
                <w:color w:val="000000"/>
                <w:sz w:val="20"/>
              </w:rPr>
              <w:t>miles</w:t>
            </w:r>
            <w:r>
              <w:rPr>
                <w:color w:val="000000"/>
                <w:sz w:val="20"/>
              </w:rPr>
              <w:t xml:space="preserve">/sq. </w:t>
            </w:r>
            <w:r w:rsidR="00500825">
              <w:rPr>
                <w:color w:val="000000"/>
                <w:sz w:val="20"/>
              </w:rPr>
              <w:t>miles</w:t>
            </w:r>
            <w:r w:rsidR="009A027E">
              <w:rPr>
                <w:color w:val="000000"/>
                <w:sz w:val="20"/>
              </w:rPr>
              <w:t>] (std. deviation)</w:t>
            </w:r>
          </w:p>
        </w:tc>
        <w:tc>
          <w:tcPr>
            <w:tcW w:w="1128" w:type="dxa"/>
            <w:tcBorders>
              <w:top w:val="nil"/>
              <w:left w:val="nil"/>
              <w:bottom w:val="nil"/>
              <w:right w:val="nil"/>
            </w:tcBorders>
            <w:shd w:val="clear" w:color="000000" w:fill="FFFFFF"/>
            <w:vAlign w:val="center"/>
          </w:tcPr>
          <w:p w14:paraId="499C75F5" w14:textId="3C79D8D0" w:rsidR="009A027E" w:rsidRPr="00A22D23" w:rsidRDefault="0017238E" w:rsidP="0017238E">
            <w:pPr>
              <w:jc w:val="center"/>
              <w:rPr>
                <w:color w:val="000000"/>
                <w:sz w:val="20"/>
              </w:rPr>
            </w:pPr>
            <w:r>
              <w:rPr>
                <w:color w:val="000000"/>
                <w:sz w:val="20"/>
              </w:rPr>
              <w:t>21</w:t>
            </w:r>
            <w:r w:rsidR="009A027E">
              <w:rPr>
                <w:color w:val="000000"/>
                <w:sz w:val="20"/>
              </w:rPr>
              <w:t xml:space="preserve"> (</w:t>
            </w:r>
            <w:r>
              <w:rPr>
                <w:color w:val="000000"/>
                <w:sz w:val="20"/>
              </w:rPr>
              <w:t>7</w:t>
            </w:r>
            <w:r w:rsidR="009A027E">
              <w:rPr>
                <w:color w:val="000000"/>
                <w:sz w:val="20"/>
              </w:rPr>
              <w:t>)</w:t>
            </w:r>
          </w:p>
        </w:tc>
        <w:tc>
          <w:tcPr>
            <w:tcW w:w="1572" w:type="dxa"/>
            <w:tcBorders>
              <w:top w:val="nil"/>
              <w:left w:val="nil"/>
              <w:bottom w:val="nil"/>
              <w:right w:val="nil"/>
            </w:tcBorders>
            <w:shd w:val="clear" w:color="000000" w:fill="FFFFFF"/>
            <w:vAlign w:val="center"/>
          </w:tcPr>
          <w:p w14:paraId="12660269" w14:textId="04FAD1C8" w:rsidR="009A027E" w:rsidRPr="00A22D23" w:rsidRDefault="009A027E" w:rsidP="0017238E">
            <w:pPr>
              <w:jc w:val="center"/>
              <w:rPr>
                <w:color w:val="000000"/>
                <w:sz w:val="20"/>
              </w:rPr>
            </w:pPr>
            <w:r>
              <w:rPr>
                <w:color w:val="000000"/>
                <w:sz w:val="20"/>
              </w:rPr>
              <w:t>1</w:t>
            </w:r>
            <w:r w:rsidR="0017238E">
              <w:rPr>
                <w:color w:val="000000"/>
                <w:sz w:val="20"/>
              </w:rPr>
              <w:t>7</w:t>
            </w:r>
            <w:r>
              <w:rPr>
                <w:color w:val="000000"/>
                <w:sz w:val="20"/>
              </w:rPr>
              <w:t xml:space="preserve"> (</w:t>
            </w:r>
            <w:r w:rsidR="0017238E">
              <w:rPr>
                <w:color w:val="000000"/>
                <w:sz w:val="20"/>
              </w:rPr>
              <w:t>8</w:t>
            </w:r>
            <w:r>
              <w:rPr>
                <w:color w:val="000000"/>
                <w:sz w:val="20"/>
              </w:rPr>
              <w:t>)</w:t>
            </w:r>
          </w:p>
        </w:tc>
        <w:tc>
          <w:tcPr>
            <w:tcW w:w="1283" w:type="dxa"/>
            <w:tcBorders>
              <w:top w:val="nil"/>
              <w:left w:val="nil"/>
              <w:bottom w:val="nil"/>
              <w:right w:val="nil"/>
            </w:tcBorders>
            <w:shd w:val="clear" w:color="000000" w:fill="FFFFFF"/>
            <w:vAlign w:val="center"/>
          </w:tcPr>
          <w:p w14:paraId="6E7737C7" w14:textId="39FA0517" w:rsidR="009A027E" w:rsidRPr="00A22D23" w:rsidRDefault="009A027E" w:rsidP="0017238E">
            <w:pPr>
              <w:jc w:val="center"/>
              <w:rPr>
                <w:color w:val="000000"/>
                <w:sz w:val="20"/>
              </w:rPr>
            </w:pPr>
            <w:r>
              <w:rPr>
                <w:color w:val="000000"/>
                <w:sz w:val="20"/>
              </w:rPr>
              <w:t>1</w:t>
            </w:r>
            <w:r w:rsidR="0017238E">
              <w:rPr>
                <w:color w:val="000000"/>
                <w:sz w:val="20"/>
              </w:rPr>
              <w:t>8</w:t>
            </w:r>
            <w:r>
              <w:rPr>
                <w:color w:val="000000"/>
                <w:sz w:val="20"/>
              </w:rPr>
              <w:t xml:space="preserve"> (</w:t>
            </w:r>
            <w:r w:rsidR="0017238E">
              <w:rPr>
                <w:color w:val="000000"/>
                <w:sz w:val="20"/>
              </w:rPr>
              <w:t>10</w:t>
            </w:r>
            <w:r>
              <w:rPr>
                <w:color w:val="000000"/>
                <w:sz w:val="20"/>
              </w:rPr>
              <w:t>)</w:t>
            </w:r>
          </w:p>
        </w:tc>
        <w:tc>
          <w:tcPr>
            <w:tcW w:w="839" w:type="dxa"/>
            <w:tcBorders>
              <w:top w:val="nil"/>
              <w:left w:val="nil"/>
              <w:bottom w:val="nil"/>
              <w:right w:val="nil"/>
            </w:tcBorders>
            <w:shd w:val="clear" w:color="000000" w:fill="FFFFFF"/>
            <w:vAlign w:val="center"/>
          </w:tcPr>
          <w:p w14:paraId="6EA3D1FD" w14:textId="6326AB62" w:rsidR="009A027E" w:rsidRPr="00A22D23" w:rsidRDefault="009A027E" w:rsidP="0017238E">
            <w:pPr>
              <w:jc w:val="center"/>
              <w:rPr>
                <w:color w:val="000000"/>
                <w:sz w:val="20"/>
              </w:rPr>
            </w:pPr>
            <w:r>
              <w:rPr>
                <w:color w:val="000000"/>
                <w:sz w:val="20"/>
              </w:rPr>
              <w:t>1</w:t>
            </w:r>
            <w:r w:rsidR="0017238E">
              <w:rPr>
                <w:color w:val="000000"/>
                <w:sz w:val="20"/>
              </w:rPr>
              <w:t>9</w:t>
            </w:r>
            <w:r>
              <w:rPr>
                <w:color w:val="000000"/>
                <w:sz w:val="20"/>
              </w:rPr>
              <w:t xml:space="preserve"> (</w:t>
            </w:r>
            <w:r w:rsidR="0017238E">
              <w:rPr>
                <w:color w:val="000000"/>
                <w:sz w:val="20"/>
              </w:rPr>
              <w:t>8</w:t>
            </w:r>
            <w:r>
              <w:rPr>
                <w:color w:val="000000"/>
                <w:sz w:val="20"/>
              </w:rPr>
              <w:t>)</w:t>
            </w:r>
          </w:p>
        </w:tc>
        <w:tc>
          <w:tcPr>
            <w:tcW w:w="1339" w:type="dxa"/>
            <w:tcBorders>
              <w:top w:val="nil"/>
              <w:left w:val="nil"/>
              <w:bottom w:val="nil"/>
              <w:right w:val="nil"/>
            </w:tcBorders>
            <w:shd w:val="clear" w:color="000000" w:fill="FFFFFF"/>
            <w:vAlign w:val="center"/>
          </w:tcPr>
          <w:p w14:paraId="1DBBCB20" w14:textId="10D8A518" w:rsidR="009A027E" w:rsidRPr="00A22D23" w:rsidRDefault="0017238E" w:rsidP="0017238E">
            <w:pPr>
              <w:jc w:val="center"/>
              <w:rPr>
                <w:color w:val="000000"/>
                <w:sz w:val="20"/>
              </w:rPr>
            </w:pPr>
            <w:r>
              <w:rPr>
                <w:color w:val="000000"/>
                <w:sz w:val="20"/>
              </w:rPr>
              <w:t>22</w:t>
            </w:r>
            <w:r w:rsidR="009A027E">
              <w:rPr>
                <w:color w:val="000000"/>
                <w:sz w:val="20"/>
              </w:rPr>
              <w:t xml:space="preserve"> (</w:t>
            </w:r>
            <w:r>
              <w:rPr>
                <w:color w:val="000000"/>
                <w:sz w:val="20"/>
              </w:rPr>
              <w:t>9</w:t>
            </w:r>
            <w:r w:rsidR="009A027E">
              <w:rPr>
                <w:color w:val="000000"/>
                <w:sz w:val="20"/>
              </w:rPr>
              <w:t>)</w:t>
            </w:r>
          </w:p>
        </w:tc>
        <w:tc>
          <w:tcPr>
            <w:tcW w:w="1083" w:type="dxa"/>
            <w:tcBorders>
              <w:top w:val="nil"/>
              <w:left w:val="nil"/>
              <w:bottom w:val="nil"/>
              <w:right w:val="nil"/>
            </w:tcBorders>
            <w:shd w:val="clear" w:color="000000" w:fill="FFFFFF"/>
            <w:vAlign w:val="center"/>
          </w:tcPr>
          <w:p w14:paraId="486C59F9" w14:textId="010D06F3" w:rsidR="009A027E" w:rsidRPr="00A22D23" w:rsidRDefault="009A027E" w:rsidP="0017238E">
            <w:pPr>
              <w:jc w:val="center"/>
              <w:rPr>
                <w:color w:val="000000"/>
                <w:sz w:val="20"/>
              </w:rPr>
            </w:pPr>
            <w:r>
              <w:rPr>
                <w:color w:val="000000"/>
                <w:sz w:val="20"/>
              </w:rPr>
              <w:t>1</w:t>
            </w:r>
            <w:r w:rsidR="0017238E">
              <w:rPr>
                <w:color w:val="000000"/>
                <w:sz w:val="20"/>
              </w:rPr>
              <w:t>7</w:t>
            </w:r>
            <w:r>
              <w:rPr>
                <w:color w:val="000000"/>
                <w:sz w:val="20"/>
              </w:rPr>
              <w:t xml:space="preserve"> (</w:t>
            </w:r>
            <w:r w:rsidR="0017238E">
              <w:rPr>
                <w:color w:val="000000"/>
                <w:sz w:val="20"/>
              </w:rPr>
              <w:t>9</w:t>
            </w:r>
            <w:r>
              <w:rPr>
                <w:color w:val="000000"/>
                <w:sz w:val="20"/>
              </w:rPr>
              <w:t>)</w:t>
            </w:r>
          </w:p>
        </w:tc>
      </w:tr>
      <w:tr w:rsidR="00665044" w:rsidRPr="00A22D23" w14:paraId="3369D4C0" w14:textId="77777777" w:rsidTr="006A1058">
        <w:trPr>
          <w:trHeight w:val="600"/>
        </w:trPr>
        <w:tc>
          <w:tcPr>
            <w:tcW w:w="2000" w:type="dxa"/>
            <w:tcBorders>
              <w:top w:val="nil"/>
              <w:left w:val="nil"/>
              <w:bottom w:val="nil"/>
              <w:right w:val="nil"/>
            </w:tcBorders>
            <w:shd w:val="clear" w:color="000000" w:fill="FFFFFF"/>
            <w:vAlign w:val="center"/>
          </w:tcPr>
          <w:p w14:paraId="5DB08FE2" w14:textId="6035A271" w:rsidR="00665044" w:rsidRDefault="00665044" w:rsidP="00665044">
            <w:pPr>
              <w:rPr>
                <w:color w:val="000000"/>
                <w:sz w:val="20"/>
              </w:rPr>
            </w:pPr>
            <w:r>
              <w:rPr>
                <w:color w:val="000000"/>
                <w:sz w:val="20"/>
              </w:rPr>
              <w:t>Transit accessibility range [</w:t>
            </w:r>
            <w:r w:rsidR="002F2358">
              <w:rPr>
                <w:color w:val="000000"/>
                <w:sz w:val="20"/>
              </w:rPr>
              <w:t>aggregated frequency</w:t>
            </w:r>
            <w:r>
              <w:rPr>
                <w:color w:val="000000"/>
                <w:sz w:val="20"/>
              </w:rPr>
              <w:t>]</w:t>
            </w:r>
          </w:p>
        </w:tc>
        <w:tc>
          <w:tcPr>
            <w:tcW w:w="1128" w:type="dxa"/>
            <w:tcBorders>
              <w:top w:val="nil"/>
              <w:left w:val="nil"/>
              <w:bottom w:val="nil"/>
              <w:right w:val="nil"/>
            </w:tcBorders>
            <w:shd w:val="clear" w:color="000000" w:fill="FFFFFF"/>
            <w:vAlign w:val="center"/>
          </w:tcPr>
          <w:p w14:paraId="598CB042" w14:textId="2BFBE162" w:rsidR="00665044" w:rsidRDefault="00665044" w:rsidP="00665044">
            <w:pPr>
              <w:jc w:val="center"/>
              <w:rPr>
                <w:color w:val="000000"/>
                <w:sz w:val="20"/>
              </w:rPr>
            </w:pPr>
            <w:r>
              <w:rPr>
                <w:color w:val="000000"/>
                <w:sz w:val="20"/>
              </w:rPr>
              <w:t>[0,4401]</w:t>
            </w:r>
          </w:p>
        </w:tc>
        <w:tc>
          <w:tcPr>
            <w:tcW w:w="1572" w:type="dxa"/>
            <w:tcBorders>
              <w:top w:val="nil"/>
              <w:left w:val="nil"/>
              <w:bottom w:val="nil"/>
              <w:right w:val="nil"/>
            </w:tcBorders>
            <w:shd w:val="clear" w:color="000000" w:fill="FFFFFF"/>
            <w:vAlign w:val="center"/>
          </w:tcPr>
          <w:p w14:paraId="0552C80B" w14:textId="67BEEB2B" w:rsidR="00665044" w:rsidRDefault="00665044" w:rsidP="00665044">
            <w:pPr>
              <w:jc w:val="center"/>
              <w:rPr>
                <w:color w:val="000000"/>
                <w:sz w:val="20"/>
              </w:rPr>
            </w:pPr>
            <w:r>
              <w:rPr>
                <w:color w:val="000000"/>
                <w:sz w:val="20"/>
              </w:rPr>
              <w:t>[0,5038]</w:t>
            </w:r>
          </w:p>
        </w:tc>
        <w:tc>
          <w:tcPr>
            <w:tcW w:w="1283" w:type="dxa"/>
            <w:tcBorders>
              <w:top w:val="nil"/>
              <w:left w:val="nil"/>
              <w:bottom w:val="nil"/>
              <w:right w:val="nil"/>
            </w:tcBorders>
            <w:shd w:val="clear" w:color="000000" w:fill="FFFFFF"/>
            <w:vAlign w:val="center"/>
          </w:tcPr>
          <w:p w14:paraId="53D10F55" w14:textId="49420E8E" w:rsidR="00665044" w:rsidRDefault="00665044" w:rsidP="00665044">
            <w:pPr>
              <w:jc w:val="center"/>
              <w:rPr>
                <w:color w:val="000000"/>
                <w:sz w:val="20"/>
              </w:rPr>
            </w:pPr>
            <w:r>
              <w:rPr>
                <w:color w:val="000000"/>
                <w:sz w:val="20"/>
              </w:rPr>
              <w:t>[0,2351]</w:t>
            </w:r>
          </w:p>
        </w:tc>
        <w:tc>
          <w:tcPr>
            <w:tcW w:w="839" w:type="dxa"/>
            <w:tcBorders>
              <w:top w:val="nil"/>
              <w:left w:val="nil"/>
              <w:bottom w:val="nil"/>
              <w:right w:val="nil"/>
            </w:tcBorders>
            <w:shd w:val="clear" w:color="000000" w:fill="FFFFFF"/>
            <w:vAlign w:val="center"/>
          </w:tcPr>
          <w:p w14:paraId="164618B5" w14:textId="2EE63B7B" w:rsidR="00665044" w:rsidRDefault="00665044" w:rsidP="00665044">
            <w:pPr>
              <w:jc w:val="center"/>
              <w:rPr>
                <w:color w:val="000000"/>
                <w:sz w:val="20"/>
              </w:rPr>
            </w:pPr>
            <w:r>
              <w:rPr>
                <w:color w:val="000000"/>
                <w:sz w:val="20"/>
              </w:rPr>
              <w:t>[0,526]</w:t>
            </w:r>
          </w:p>
        </w:tc>
        <w:tc>
          <w:tcPr>
            <w:tcW w:w="1339" w:type="dxa"/>
            <w:tcBorders>
              <w:top w:val="nil"/>
              <w:left w:val="nil"/>
              <w:bottom w:val="nil"/>
              <w:right w:val="nil"/>
            </w:tcBorders>
            <w:shd w:val="clear" w:color="000000" w:fill="FFFFFF"/>
            <w:vAlign w:val="center"/>
          </w:tcPr>
          <w:p w14:paraId="1A2E8FA7" w14:textId="38BADE2F" w:rsidR="00665044" w:rsidRDefault="00665044" w:rsidP="00665044">
            <w:pPr>
              <w:jc w:val="center"/>
              <w:rPr>
                <w:color w:val="000000"/>
                <w:sz w:val="20"/>
              </w:rPr>
            </w:pPr>
            <w:r>
              <w:rPr>
                <w:color w:val="000000"/>
                <w:sz w:val="20"/>
              </w:rPr>
              <w:t>[0,2028]</w:t>
            </w:r>
          </w:p>
        </w:tc>
        <w:tc>
          <w:tcPr>
            <w:tcW w:w="1083" w:type="dxa"/>
            <w:tcBorders>
              <w:top w:val="nil"/>
              <w:left w:val="nil"/>
              <w:bottom w:val="nil"/>
              <w:right w:val="nil"/>
            </w:tcBorders>
            <w:shd w:val="clear" w:color="000000" w:fill="FFFFFF"/>
            <w:vAlign w:val="center"/>
          </w:tcPr>
          <w:p w14:paraId="0749C07B" w14:textId="2B334560" w:rsidR="00665044" w:rsidRDefault="00665044" w:rsidP="00665044">
            <w:pPr>
              <w:jc w:val="center"/>
              <w:rPr>
                <w:color w:val="000000"/>
                <w:sz w:val="20"/>
              </w:rPr>
            </w:pPr>
            <w:r>
              <w:rPr>
                <w:color w:val="000000"/>
                <w:sz w:val="20"/>
              </w:rPr>
              <w:t>[0,1839]</w:t>
            </w:r>
          </w:p>
        </w:tc>
      </w:tr>
      <w:tr w:rsidR="00665044" w:rsidRPr="00A22D23" w14:paraId="6F686560" w14:textId="77777777" w:rsidTr="006022B0">
        <w:trPr>
          <w:trHeight w:val="600"/>
        </w:trPr>
        <w:tc>
          <w:tcPr>
            <w:tcW w:w="2000" w:type="dxa"/>
            <w:tcBorders>
              <w:top w:val="nil"/>
              <w:left w:val="nil"/>
              <w:bottom w:val="single" w:sz="4" w:space="0" w:color="auto"/>
              <w:right w:val="nil"/>
            </w:tcBorders>
            <w:shd w:val="clear" w:color="000000" w:fill="FFFFFF"/>
            <w:vAlign w:val="center"/>
          </w:tcPr>
          <w:p w14:paraId="5804C83C" w14:textId="24707576" w:rsidR="00665044" w:rsidRDefault="00665044" w:rsidP="00665044">
            <w:pPr>
              <w:rPr>
                <w:color w:val="000000"/>
                <w:sz w:val="20"/>
              </w:rPr>
            </w:pPr>
            <w:r>
              <w:rPr>
                <w:color w:val="000000"/>
                <w:sz w:val="20"/>
              </w:rPr>
              <w:t>Transit accessibility mean [</w:t>
            </w:r>
            <w:r w:rsidR="00324553">
              <w:rPr>
                <w:color w:val="000000"/>
                <w:sz w:val="20"/>
              </w:rPr>
              <w:t>aggregated frequency</w:t>
            </w:r>
            <w:r>
              <w:rPr>
                <w:color w:val="000000"/>
                <w:sz w:val="20"/>
              </w:rPr>
              <w:t>] (std. deviation)</w:t>
            </w:r>
          </w:p>
        </w:tc>
        <w:tc>
          <w:tcPr>
            <w:tcW w:w="1128" w:type="dxa"/>
            <w:tcBorders>
              <w:top w:val="nil"/>
              <w:left w:val="nil"/>
              <w:bottom w:val="single" w:sz="4" w:space="0" w:color="auto"/>
              <w:right w:val="nil"/>
            </w:tcBorders>
            <w:shd w:val="clear" w:color="000000" w:fill="FFFFFF"/>
            <w:vAlign w:val="center"/>
          </w:tcPr>
          <w:p w14:paraId="4A8299EF" w14:textId="1EA849A5" w:rsidR="00665044" w:rsidRDefault="00665044" w:rsidP="00665044">
            <w:pPr>
              <w:jc w:val="center"/>
              <w:rPr>
                <w:color w:val="000000"/>
                <w:sz w:val="20"/>
              </w:rPr>
            </w:pPr>
            <w:r>
              <w:rPr>
                <w:color w:val="000000"/>
                <w:sz w:val="20"/>
              </w:rPr>
              <w:t>71 (140)</w:t>
            </w:r>
          </w:p>
        </w:tc>
        <w:tc>
          <w:tcPr>
            <w:tcW w:w="1572" w:type="dxa"/>
            <w:tcBorders>
              <w:top w:val="nil"/>
              <w:left w:val="nil"/>
              <w:bottom w:val="single" w:sz="4" w:space="0" w:color="auto"/>
              <w:right w:val="nil"/>
            </w:tcBorders>
            <w:shd w:val="clear" w:color="000000" w:fill="FFFFFF"/>
            <w:vAlign w:val="center"/>
          </w:tcPr>
          <w:p w14:paraId="0F58547F" w14:textId="3CC866B3" w:rsidR="00665044" w:rsidRDefault="00665044" w:rsidP="00665044">
            <w:pPr>
              <w:jc w:val="center"/>
              <w:rPr>
                <w:color w:val="000000"/>
                <w:sz w:val="20"/>
              </w:rPr>
            </w:pPr>
            <w:r>
              <w:rPr>
                <w:color w:val="000000"/>
                <w:sz w:val="20"/>
              </w:rPr>
              <w:t>128 (230)</w:t>
            </w:r>
          </w:p>
        </w:tc>
        <w:tc>
          <w:tcPr>
            <w:tcW w:w="1283" w:type="dxa"/>
            <w:tcBorders>
              <w:top w:val="nil"/>
              <w:left w:val="nil"/>
              <w:bottom w:val="single" w:sz="4" w:space="0" w:color="auto"/>
              <w:right w:val="nil"/>
            </w:tcBorders>
            <w:shd w:val="clear" w:color="000000" w:fill="FFFFFF"/>
            <w:vAlign w:val="center"/>
          </w:tcPr>
          <w:p w14:paraId="4AAE4A7A" w14:textId="29880156" w:rsidR="00665044" w:rsidRDefault="00665044" w:rsidP="00665044">
            <w:pPr>
              <w:jc w:val="center"/>
              <w:rPr>
                <w:color w:val="000000"/>
                <w:sz w:val="20"/>
              </w:rPr>
            </w:pPr>
            <w:r>
              <w:rPr>
                <w:color w:val="000000"/>
                <w:sz w:val="20"/>
              </w:rPr>
              <w:t>151 (211)</w:t>
            </w:r>
          </w:p>
        </w:tc>
        <w:tc>
          <w:tcPr>
            <w:tcW w:w="839" w:type="dxa"/>
            <w:tcBorders>
              <w:top w:val="nil"/>
              <w:left w:val="nil"/>
              <w:bottom w:val="single" w:sz="4" w:space="0" w:color="auto"/>
              <w:right w:val="nil"/>
            </w:tcBorders>
            <w:shd w:val="clear" w:color="000000" w:fill="FFFFFF"/>
            <w:vAlign w:val="center"/>
          </w:tcPr>
          <w:p w14:paraId="1B6C08F5" w14:textId="49395E88" w:rsidR="00665044" w:rsidRDefault="00665044" w:rsidP="00665044">
            <w:pPr>
              <w:jc w:val="center"/>
              <w:rPr>
                <w:color w:val="000000"/>
                <w:sz w:val="20"/>
              </w:rPr>
            </w:pPr>
            <w:r>
              <w:rPr>
                <w:color w:val="000000"/>
                <w:sz w:val="20"/>
              </w:rPr>
              <w:t>35 (45)</w:t>
            </w:r>
          </w:p>
        </w:tc>
        <w:tc>
          <w:tcPr>
            <w:tcW w:w="1339" w:type="dxa"/>
            <w:tcBorders>
              <w:top w:val="nil"/>
              <w:left w:val="nil"/>
              <w:bottom w:val="single" w:sz="4" w:space="0" w:color="auto"/>
              <w:right w:val="nil"/>
            </w:tcBorders>
            <w:shd w:val="clear" w:color="000000" w:fill="FFFFFF"/>
            <w:vAlign w:val="center"/>
          </w:tcPr>
          <w:p w14:paraId="1AA0624B" w14:textId="6899CD1B" w:rsidR="00665044" w:rsidRDefault="00665044" w:rsidP="00665044">
            <w:pPr>
              <w:jc w:val="center"/>
              <w:rPr>
                <w:color w:val="000000"/>
                <w:sz w:val="20"/>
              </w:rPr>
            </w:pPr>
            <w:r>
              <w:rPr>
                <w:color w:val="000000"/>
                <w:sz w:val="20"/>
              </w:rPr>
              <w:t>86 (144)</w:t>
            </w:r>
          </w:p>
        </w:tc>
        <w:tc>
          <w:tcPr>
            <w:tcW w:w="1083" w:type="dxa"/>
            <w:tcBorders>
              <w:top w:val="nil"/>
              <w:left w:val="nil"/>
              <w:bottom w:val="single" w:sz="4" w:space="0" w:color="auto"/>
              <w:right w:val="nil"/>
            </w:tcBorders>
            <w:shd w:val="clear" w:color="000000" w:fill="FFFFFF"/>
            <w:vAlign w:val="center"/>
          </w:tcPr>
          <w:p w14:paraId="15E78F12" w14:textId="11B99390" w:rsidR="00665044" w:rsidRDefault="00665044" w:rsidP="00665044">
            <w:pPr>
              <w:jc w:val="center"/>
              <w:rPr>
                <w:color w:val="000000"/>
                <w:sz w:val="20"/>
              </w:rPr>
            </w:pPr>
            <w:r>
              <w:rPr>
                <w:color w:val="000000"/>
                <w:sz w:val="20"/>
              </w:rPr>
              <w:t>49 (97)</w:t>
            </w:r>
          </w:p>
        </w:tc>
      </w:tr>
    </w:tbl>
    <w:p w14:paraId="07F44BB7" w14:textId="72C7FD4F" w:rsidR="006022B0" w:rsidRDefault="006022B0" w:rsidP="00CD7609">
      <w:pPr>
        <w:pStyle w:val="BodyText"/>
      </w:pPr>
    </w:p>
    <w:p w14:paraId="7D4DB555" w14:textId="330F66B3" w:rsidR="00CC248F" w:rsidRDefault="00CC248F" w:rsidP="00CD7609">
      <w:pPr>
        <w:pStyle w:val="BodyText"/>
      </w:pPr>
      <w:r>
        <w:t xml:space="preserve">Some basic analysis shows that the city that </w:t>
      </w:r>
      <w:r w:rsidRPr="004C52DF">
        <w:rPr>
          <w:noProof/>
        </w:rPr>
        <w:t>ha</w:t>
      </w:r>
      <w:r w:rsidR="00C226F2">
        <w:rPr>
          <w:noProof/>
        </w:rPr>
        <w:t>s</w:t>
      </w:r>
      <w:r>
        <w:t xml:space="preserve"> </w:t>
      </w:r>
      <w:r w:rsidR="00C226F2">
        <w:t xml:space="preserve">the </w:t>
      </w:r>
      <w:r w:rsidRPr="00C226F2">
        <w:rPr>
          <w:noProof/>
        </w:rPr>
        <w:t>mo</w:t>
      </w:r>
      <w:r w:rsidR="00C226F2" w:rsidRPr="00C226F2">
        <w:rPr>
          <w:noProof/>
        </w:rPr>
        <w:t>st</w:t>
      </w:r>
      <w:r>
        <w:t xml:space="preserve"> walking </w:t>
      </w:r>
      <w:r w:rsidRPr="00C226F2">
        <w:rPr>
          <w:noProof/>
        </w:rPr>
        <w:t>is</w:t>
      </w:r>
      <w:r>
        <w:t xml:space="preserve"> San Francisco (15.9%). The larger city in population </w:t>
      </w:r>
      <w:r w:rsidRPr="00C226F2">
        <w:rPr>
          <w:noProof/>
        </w:rPr>
        <w:t>is</w:t>
      </w:r>
      <w:r>
        <w:t xml:space="preserve"> Los Angeles with 12.8 million people. The population density ranges are higher in Los Angeles and San Francisco while the employment density </w:t>
      </w:r>
      <w:r w:rsidRPr="00C226F2">
        <w:rPr>
          <w:noProof/>
        </w:rPr>
        <w:t>i</w:t>
      </w:r>
      <w:r w:rsidR="00C226F2">
        <w:rPr>
          <w:noProof/>
        </w:rPr>
        <w:t>s</w:t>
      </w:r>
      <w:r>
        <w:t xml:space="preserve"> higher in Seattle and San Francisco. </w:t>
      </w:r>
    </w:p>
    <w:p w14:paraId="7C3F1979" w14:textId="4E16E7E9" w:rsidR="001024A5" w:rsidRDefault="00CC248F" w:rsidP="006022B0">
      <w:pPr>
        <w:pStyle w:val="BodyText"/>
      </w:pPr>
      <w:r>
        <w:lastRenderedPageBreak/>
        <w:t xml:space="preserve">Following the </w:t>
      </w:r>
      <w:r w:rsidR="006A1058">
        <w:t xml:space="preserve">assembly </w:t>
      </w:r>
      <w:r>
        <w:t xml:space="preserve">and standardization of the </w:t>
      </w:r>
      <w:r w:rsidRPr="006A1058">
        <w:rPr>
          <w:noProof/>
        </w:rPr>
        <w:t>datasets</w:t>
      </w:r>
      <w:r w:rsidR="00C226F2">
        <w:rPr>
          <w:noProof/>
        </w:rPr>
        <w:t>,</w:t>
      </w:r>
      <w:r>
        <w:t xml:space="preserve"> </w:t>
      </w:r>
      <w:r w:rsidR="0076211B">
        <w:t>we</w:t>
      </w:r>
      <w:r>
        <w:t xml:space="preserve"> </w:t>
      </w:r>
      <w:r w:rsidR="0076211B">
        <w:t xml:space="preserve">made </w:t>
      </w:r>
      <w:r w:rsidR="004927BE">
        <w:t>a few</w:t>
      </w:r>
      <w:r w:rsidR="0076211B">
        <w:t xml:space="preserve"> exception</w:t>
      </w:r>
      <w:r w:rsidR="004927BE">
        <w:t>s</w:t>
      </w:r>
      <w:r w:rsidR="0076211B">
        <w:t xml:space="preserve"> to the </w:t>
      </w:r>
      <w:r w:rsidR="004927BE">
        <w:t>methodology</w:t>
      </w:r>
      <w:r w:rsidR="0076211B">
        <w:t>. W</w:t>
      </w:r>
      <w:r w:rsidR="00CD7609" w:rsidRPr="007B7AA9">
        <w:t xml:space="preserve">e did not scale </w:t>
      </w:r>
      <w:r w:rsidR="0076211B">
        <w:t>each of the built environment data</w:t>
      </w:r>
      <w:r w:rsidR="00CD7609" w:rsidRPr="007B7AA9">
        <w:t xml:space="preserve"> to </w:t>
      </w:r>
      <w:r w:rsidR="0076211B">
        <w:t>have values</w:t>
      </w:r>
      <w:r w:rsidR="00CD7609" w:rsidRPr="007B7AA9">
        <w:t xml:space="preserve"> between 1 and 5</w:t>
      </w:r>
      <w:r w:rsidR="0076211B">
        <w:t>.</w:t>
      </w:r>
      <w:r w:rsidR="00CD7609" w:rsidRPr="007B7AA9">
        <w:t xml:space="preserve"> </w:t>
      </w:r>
      <w:r w:rsidR="0076211B" w:rsidRPr="006A1058">
        <w:rPr>
          <w:noProof/>
        </w:rPr>
        <w:t>I</w:t>
      </w:r>
      <w:r w:rsidR="00CD7609" w:rsidRPr="006A1058">
        <w:rPr>
          <w:noProof/>
        </w:rPr>
        <w:t>nstead</w:t>
      </w:r>
      <w:r w:rsidR="00E677D5">
        <w:rPr>
          <w:noProof/>
        </w:rPr>
        <w:t>,</w:t>
      </w:r>
      <w:r w:rsidR="00CD7609" w:rsidRPr="007B7AA9">
        <w:t xml:space="preserve"> we scaled the data to have an average of 0 and a standard deviation of 1. </w:t>
      </w:r>
      <w:r w:rsidR="0076211B">
        <w:t xml:space="preserve">This allowed us to have </w:t>
      </w:r>
      <w:r w:rsidR="00CD7609" w:rsidRPr="007B7AA9">
        <w:t>standardized coefficient</w:t>
      </w:r>
      <w:r w:rsidR="0076211B">
        <w:t>s</w:t>
      </w:r>
      <w:r w:rsidR="00CD7609" w:rsidRPr="007B7AA9">
        <w:t xml:space="preserve"> that let us </w:t>
      </w:r>
      <w:r w:rsidR="0076211B">
        <w:t xml:space="preserve">directly </w:t>
      </w:r>
      <w:r w:rsidR="00CD7609" w:rsidRPr="007B7AA9">
        <w:t>compare the magnitude of the coefficient</w:t>
      </w:r>
      <w:r w:rsidR="0076211B">
        <w:t>s</w:t>
      </w:r>
      <w:r w:rsidR="00CD7609" w:rsidRPr="007B7AA9">
        <w:t xml:space="preserve"> between cities. </w:t>
      </w:r>
      <w:r w:rsidR="0076211B">
        <w:t>In doing this</w:t>
      </w:r>
      <w:r w:rsidR="00CD7609" w:rsidRPr="007B7AA9">
        <w:t xml:space="preserve">, </w:t>
      </w:r>
      <w:r w:rsidR="0076211B">
        <w:t xml:space="preserve">the estimated standardized </w:t>
      </w:r>
      <w:r w:rsidR="00CD7609" w:rsidRPr="007B7AA9">
        <w:t>coefficients are</w:t>
      </w:r>
      <w:r w:rsidR="004927BE">
        <w:t xml:space="preserve"> </w:t>
      </w:r>
      <w:r w:rsidR="00CD7609" w:rsidRPr="007B7AA9">
        <w:t xml:space="preserve">only </w:t>
      </w:r>
      <w:r w:rsidR="004927BE">
        <w:t xml:space="preserve">meant to be used </w:t>
      </w:r>
      <w:r w:rsidR="00CD7609" w:rsidRPr="007B7AA9">
        <w:t xml:space="preserve">for comparison </w:t>
      </w:r>
      <w:r w:rsidR="004927BE">
        <w:t xml:space="preserve">across regions </w:t>
      </w:r>
      <w:r w:rsidR="00CD7609" w:rsidRPr="007B7AA9">
        <w:t xml:space="preserve">and not for </w:t>
      </w:r>
      <w:r w:rsidR="004927BE">
        <w:t>application</w:t>
      </w:r>
      <w:r w:rsidR="00CD7609" w:rsidRPr="007B7AA9">
        <w:t xml:space="preserve">. </w:t>
      </w:r>
      <w:r w:rsidR="0079078A">
        <w:t>Finally, we did</w:t>
      </w:r>
      <w:r w:rsidR="006E337A" w:rsidRPr="007B7AA9">
        <w:t xml:space="preserve"> not sum the employment and population density variables as we wanted to test the i</w:t>
      </w:r>
      <w:r w:rsidR="0079078A">
        <w:t>ndependent</w:t>
      </w:r>
      <w:r w:rsidR="006E337A" w:rsidRPr="007B7AA9">
        <w:t xml:space="preserve"> effect</w:t>
      </w:r>
      <w:r w:rsidR="0079078A">
        <w:t xml:space="preserve"> of each measure</w:t>
      </w:r>
      <w:r w:rsidR="009669CE">
        <w:t xml:space="preserve">, </w:t>
      </w:r>
      <w:r w:rsidR="005B1097">
        <w:t>however, we re-combine them as people density later in this section in an application to Los Angeles</w:t>
      </w:r>
      <w:r w:rsidR="006E337A" w:rsidRPr="007B7AA9">
        <w:t>.</w:t>
      </w:r>
      <w:r w:rsidR="006906DE" w:rsidRPr="007B7AA9">
        <w:t xml:space="preserve"> </w:t>
      </w:r>
    </w:p>
    <w:p w14:paraId="7E624B23" w14:textId="41FA7B9B" w:rsidR="004542D0" w:rsidRDefault="004542D0" w:rsidP="00320FDE">
      <w:pPr>
        <w:jc w:val="center"/>
        <w:rPr>
          <w:noProof/>
        </w:rPr>
      </w:pPr>
    </w:p>
    <w:p w14:paraId="5B904BA8" w14:textId="33775CB2" w:rsidR="003B18E1" w:rsidRDefault="003B18E1" w:rsidP="00320FDE">
      <w:pPr>
        <w:jc w:val="center"/>
        <w:rPr>
          <w:noProof/>
        </w:rPr>
      </w:pPr>
    </w:p>
    <w:p w14:paraId="052BEC23" w14:textId="5E4642A9" w:rsidR="003B18E1" w:rsidRDefault="00983295" w:rsidP="00320FDE">
      <w:pPr>
        <w:jc w:val="center"/>
        <w:rPr>
          <w:noProof/>
        </w:rPr>
      </w:pPr>
      <w:r>
        <w:rPr>
          <w:noProof/>
        </w:rPr>
        <w:pict w14:anchorId="1CCC4C2A">
          <v:shape id="_x0000_i1030" type="#_x0000_t75" style="width:467.65pt;height:351.4pt">
            <v:imagedata r:id="rId22" o:title="barplot1"/>
          </v:shape>
        </w:pict>
      </w:r>
    </w:p>
    <w:p w14:paraId="286F1038" w14:textId="77777777" w:rsidR="00EB3D53" w:rsidRDefault="00EB3D53" w:rsidP="00EB3D53"/>
    <w:p w14:paraId="19F53A9E" w14:textId="3DC32603" w:rsidR="00CD7609" w:rsidRDefault="00EB3D53" w:rsidP="00FA1EDF">
      <w:pPr>
        <w:pStyle w:val="Caption"/>
      </w:pPr>
      <w:bookmarkStart w:id="53" w:name="_Ref511988862"/>
      <w:bookmarkStart w:id="54" w:name="_Toc2003587"/>
      <w:r>
        <w:t xml:space="preserve">Figure </w:t>
      </w:r>
      <w:fldSimple w:instr=" SEQ Figure \* ARABIC ">
        <w:r w:rsidR="00721680">
          <w:rPr>
            <w:noProof/>
          </w:rPr>
          <w:t>10</w:t>
        </w:r>
      </w:fldSimple>
      <w:bookmarkEnd w:id="53"/>
      <w:r>
        <w:t xml:space="preserve"> </w:t>
      </w:r>
      <w:r w:rsidR="0079078A">
        <w:t>Standardized c</w:t>
      </w:r>
      <w:r>
        <w:t xml:space="preserve">oefficients </w:t>
      </w:r>
      <w:r w:rsidR="0079078A">
        <w:t>for</w:t>
      </w:r>
      <w:r>
        <w:t xml:space="preserve"> different </w:t>
      </w:r>
      <w:r w:rsidR="0079078A">
        <w:t xml:space="preserve">built environment </w:t>
      </w:r>
      <w:r>
        <w:t>measures</w:t>
      </w:r>
      <w:bookmarkEnd w:id="54"/>
    </w:p>
    <w:p w14:paraId="78ADA3A7" w14:textId="2444C386" w:rsidR="006A27BC" w:rsidRDefault="00551461" w:rsidP="00320FDE">
      <w:pPr>
        <w:pStyle w:val="BodyText"/>
      </w:pPr>
      <w:r w:rsidRPr="007B7AA9">
        <w:t>The results of the</w:t>
      </w:r>
      <w:r>
        <w:t>se estimations</w:t>
      </w:r>
      <w:r w:rsidRPr="007B7AA9">
        <w:t xml:space="preserve"> for the different cities are shown in </w:t>
      </w:r>
      <w:r w:rsidRPr="007B7AA9">
        <w:fldChar w:fldCharType="begin"/>
      </w:r>
      <w:r w:rsidRPr="007B7AA9">
        <w:instrText xml:space="preserve"> REF _Ref511988862 \h  \* MERGEFORMAT </w:instrText>
      </w:r>
      <w:r w:rsidRPr="007B7AA9">
        <w:fldChar w:fldCharType="separate"/>
      </w:r>
      <w:r w:rsidR="00CC248F">
        <w:t xml:space="preserve">Figure </w:t>
      </w:r>
      <w:r w:rsidR="00CC248F">
        <w:rPr>
          <w:noProof/>
        </w:rPr>
        <w:t>10</w:t>
      </w:r>
      <w:r w:rsidRPr="007B7AA9">
        <w:fldChar w:fldCharType="end"/>
      </w:r>
      <w:r w:rsidRPr="007B7AA9">
        <w:t xml:space="preserve">. </w:t>
      </w:r>
      <w:r w:rsidR="00320FDE" w:rsidRPr="00551461">
        <w:t>All the estimates were statistically significant (p &lt; 0.001). O</w:t>
      </w:r>
      <w:r>
        <w:t xml:space="preserve">f the various built environment measures tested, </w:t>
      </w:r>
      <w:r w:rsidR="006A27BC">
        <w:t xml:space="preserve">the standardized coefficients for </w:t>
      </w:r>
      <w:r>
        <w:t>p</w:t>
      </w:r>
      <w:r w:rsidR="00320FDE" w:rsidRPr="00551461">
        <w:t xml:space="preserve">opulation density appear to </w:t>
      </w:r>
      <w:r>
        <w:t>have the most consistent value</w:t>
      </w:r>
      <w:r w:rsidR="006A27BC">
        <w:t>s</w:t>
      </w:r>
      <w:r w:rsidR="006E337A" w:rsidRPr="00551461">
        <w:t xml:space="preserve"> a</w:t>
      </w:r>
      <w:r>
        <w:t>cross</w:t>
      </w:r>
      <w:r w:rsidR="006E337A" w:rsidRPr="00551461">
        <w:t xml:space="preserve"> the cities in the study</w:t>
      </w:r>
      <w:r w:rsidR="006A27BC">
        <w:t xml:space="preserve">, with values ranging from </w:t>
      </w:r>
      <w:r w:rsidR="006A27BC" w:rsidRPr="006A1058">
        <w:t>0.3</w:t>
      </w:r>
      <w:r w:rsidR="00791171" w:rsidRPr="006A1058">
        <w:t>7</w:t>
      </w:r>
      <w:r w:rsidR="006A27BC" w:rsidRPr="006A1058">
        <w:t xml:space="preserve"> </w:t>
      </w:r>
      <w:r w:rsidR="003E4A97" w:rsidRPr="006A1058">
        <w:t xml:space="preserve">in </w:t>
      </w:r>
      <w:r w:rsidR="00791171" w:rsidRPr="006A1058">
        <w:t>Portland</w:t>
      </w:r>
      <w:r w:rsidR="003E4A97" w:rsidRPr="006A1058">
        <w:t xml:space="preserve"> </w:t>
      </w:r>
      <w:r w:rsidR="006A27BC" w:rsidRPr="006A1058">
        <w:t>to 0.</w:t>
      </w:r>
      <w:r w:rsidR="00791171" w:rsidRPr="00B1326A">
        <w:t>51</w:t>
      </w:r>
      <w:r w:rsidR="00791171">
        <w:t xml:space="preserve"> </w:t>
      </w:r>
      <w:r w:rsidR="003E4A97">
        <w:t>in San Francisco.</w:t>
      </w:r>
      <w:r w:rsidR="006A27BC">
        <w:t xml:space="preserve"> </w:t>
      </w:r>
      <w:r w:rsidR="00BC095D">
        <w:t xml:space="preserve">For the Los Angeles </w:t>
      </w:r>
      <w:r w:rsidR="003E4A97">
        <w:t xml:space="preserve">and San Diego </w:t>
      </w:r>
      <w:r w:rsidR="00BC095D">
        <w:t>region</w:t>
      </w:r>
      <w:r w:rsidR="003E4A97">
        <w:t>s</w:t>
      </w:r>
      <w:r w:rsidR="00BC095D">
        <w:t>, population density was the most important built environment characteristic in explaining walk mode choice.</w:t>
      </w:r>
      <w:r w:rsidR="00B1326A">
        <w:t xml:space="preserve"> </w:t>
      </w:r>
      <w:r w:rsidR="006A27BC">
        <w:t xml:space="preserve">Given its stability and its relatively </w:t>
      </w:r>
      <w:r w:rsidR="006A27BC">
        <w:lastRenderedPageBreak/>
        <w:t xml:space="preserve">high standardized coefficient, </w:t>
      </w:r>
      <w:r w:rsidR="00724BFA">
        <w:t xml:space="preserve">population </w:t>
      </w:r>
      <w:r w:rsidR="006A27BC">
        <w:t>density</w:t>
      </w:r>
      <w:r w:rsidR="00320FDE" w:rsidRPr="00551461">
        <w:t xml:space="preserve"> may be the most important built environment </w:t>
      </w:r>
      <w:r w:rsidR="006A27BC">
        <w:t>measure</w:t>
      </w:r>
      <w:r w:rsidR="00320FDE" w:rsidRPr="00551461">
        <w:t xml:space="preserve"> assoc</w:t>
      </w:r>
      <w:r w:rsidR="006E337A" w:rsidRPr="00551461">
        <w:t>iated with the odds of walking</w:t>
      </w:r>
      <w:r w:rsidR="00BC095D">
        <w:t xml:space="preserve"> across all of the cities</w:t>
      </w:r>
      <w:r w:rsidR="00235388">
        <w:t>, which is consistent with the literature</w:t>
      </w:r>
      <w:r w:rsidR="006A27BC">
        <w:t>.</w:t>
      </w:r>
    </w:p>
    <w:p w14:paraId="769019EC" w14:textId="0C602329" w:rsidR="00BC095D" w:rsidRDefault="006A27BC" w:rsidP="00320FDE">
      <w:pPr>
        <w:pStyle w:val="BodyText"/>
      </w:pPr>
      <w:r>
        <w:t>In contrast, r</w:t>
      </w:r>
      <w:r w:rsidR="00521574" w:rsidRPr="00551461">
        <w:t xml:space="preserve">oad network density </w:t>
      </w:r>
      <w:r w:rsidR="00BC095D">
        <w:t xml:space="preserve">has much more variability </w:t>
      </w:r>
      <w:r w:rsidR="003B260E">
        <w:t xml:space="preserve">based upon the statistics in </w:t>
      </w:r>
      <w:r w:rsidR="003B260E">
        <w:rPr>
          <w:shd w:val="clear" w:color="auto" w:fill="BDD6EE" w:themeFill="accent1" w:themeFillTint="66"/>
        </w:rPr>
        <w:fldChar w:fldCharType="begin"/>
      </w:r>
      <w:r w:rsidR="003B260E">
        <w:rPr>
          <w:shd w:val="clear" w:color="auto" w:fill="BDD6EE" w:themeFill="accent1" w:themeFillTint="66"/>
        </w:rPr>
        <w:instrText xml:space="preserve"> REF _Ref522024223 \h </w:instrText>
      </w:r>
      <w:r w:rsidR="003B260E">
        <w:rPr>
          <w:shd w:val="clear" w:color="auto" w:fill="BDD6EE" w:themeFill="accent1" w:themeFillTint="66"/>
        </w:rPr>
      </w:r>
      <w:r w:rsidR="003B260E">
        <w:rPr>
          <w:shd w:val="clear" w:color="auto" w:fill="BDD6EE" w:themeFill="accent1" w:themeFillTint="66"/>
        </w:rPr>
        <w:fldChar w:fldCharType="separate"/>
      </w:r>
      <w:r w:rsidR="003B260E">
        <w:t xml:space="preserve">Table </w:t>
      </w:r>
      <w:r w:rsidR="003B260E">
        <w:rPr>
          <w:noProof/>
        </w:rPr>
        <w:t>5</w:t>
      </w:r>
      <w:r w:rsidR="003B260E">
        <w:rPr>
          <w:shd w:val="clear" w:color="auto" w:fill="BDD6EE" w:themeFill="accent1" w:themeFillTint="66"/>
        </w:rPr>
        <w:fldChar w:fldCharType="end"/>
      </w:r>
      <w:r w:rsidR="003B260E">
        <w:rPr>
          <w:shd w:val="clear" w:color="auto" w:fill="BDD6EE" w:themeFill="accent1" w:themeFillTint="66"/>
        </w:rPr>
        <w:t xml:space="preserve"> </w:t>
      </w:r>
      <w:r w:rsidR="003B260E">
        <w:t xml:space="preserve">that is reflected in the values </w:t>
      </w:r>
      <w:r w:rsidR="0019511D">
        <w:t xml:space="preserve">of the standardized </w:t>
      </w:r>
      <w:r w:rsidR="00521574" w:rsidRPr="00551461">
        <w:t>coefficients</w:t>
      </w:r>
      <w:r w:rsidR="003B260E">
        <w:t xml:space="preserve"> in </w:t>
      </w:r>
      <w:r w:rsidR="003B260E" w:rsidRPr="007B7AA9">
        <w:fldChar w:fldCharType="begin"/>
      </w:r>
      <w:r w:rsidR="003B260E" w:rsidRPr="007B7AA9">
        <w:instrText xml:space="preserve"> REF _Ref511988862 \h  \* MERGEFORMAT </w:instrText>
      </w:r>
      <w:r w:rsidR="003B260E" w:rsidRPr="007B7AA9">
        <w:fldChar w:fldCharType="separate"/>
      </w:r>
      <w:r w:rsidR="003B260E">
        <w:t xml:space="preserve">Figure </w:t>
      </w:r>
      <w:r w:rsidR="003B260E">
        <w:rPr>
          <w:noProof/>
        </w:rPr>
        <w:t>10</w:t>
      </w:r>
      <w:r w:rsidR="003B260E" w:rsidRPr="007B7AA9">
        <w:fldChar w:fldCharType="end"/>
      </w:r>
      <w:r w:rsidR="003B260E">
        <w:t>, which</w:t>
      </w:r>
      <w:r w:rsidR="00BC095D">
        <w:t xml:space="preserve"> range from a low of </w:t>
      </w:r>
      <w:r w:rsidR="00BC095D" w:rsidRPr="006A1058">
        <w:t>0.20</w:t>
      </w:r>
      <w:r w:rsidR="00BC095D">
        <w:t xml:space="preserve"> in Los Angeles to a high of </w:t>
      </w:r>
      <w:r w:rsidR="00BC095D" w:rsidRPr="006A1058">
        <w:t>0.</w:t>
      </w:r>
      <w:r w:rsidR="00C1367E" w:rsidRPr="006A1058">
        <w:t>7</w:t>
      </w:r>
      <w:r w:rsidR="00C1367E" w:rsidRPr="00C1367E">
        <w:t>2</w:t>
      </w:r>
      <w:r w:rsidR="00C1367E">
        <w:t xml:space="preserve"> </w:t>
      </w:r>
      <w:r w:rsidR="00BC095D">
        <w:t>in Minneapolis.</w:t>
      </w:r>
      <w:r w:rsidR="003E4A97">
        <w:t xml:space="preserve"> This was the most important measure in explaining walking </w:t>
      </w:r>
      <w:r w:rsidR="00DA699A">
        <w:t xml:space="preserve">for several cities: </w:t>
      </w:r>
      <w:r w:rsidR="003E4A97">
        <w:t>Minneapolis</w:t>
      </w:r>
      <w:r w:rsidR="00DA699A">
        <w:t xml:space="preserve">, Portland, San </w:t>
      </w:r>
      <w:r w:rsidR="003E4A97">
        <w:t>Francisco</w:t>
      </w:r>
      <w:r w:rsidR="00DA699A">
        <w:t>, and Seattle</w:t>
      </w:r>
      <w:r w:rsidR="003E4A97">
        <w:t>.</w:t>
      </w:r>
      <w:r w:rsidR="0023796A">
        <w:t xml:space="preserve"> </w:t>
      </w:r>
      <w:r w:rsidR="00910FCA">
        <w:t>This range of values is perplexing but may be a function of the computation of the attribute itself</w:t>
      </w:r>
      <w:r w:rsidR="0019511D">
        <w:t>. Road network density includes all facility types</w:t>
      </w:r>
      <w:r w:rsidR="00223682">
        <w:t>, including freeways,</w:t>
      </w:r>
      <w:r w:rsidR="0019511D">
        <w:t xml:space="preserve"> and for that </w:t>
      </w:r>
      <w:r w:rsidR="0019511D" w:rsidRPr="00E677D5">
        <w:rPr>
          <w:noProof/>
        </w:rPr>
        <w:t>reason</w:t>
      </w:r>
      <w:r w:rsidR="00E677D5">
        <w:rPr>
          <w:noProof/>
        </w:rPr>
        <w:t>,</w:t>
      </w:r>
      <w:r w:rsidR="0019511D">
        <w:t xml:space="preserve"> it may have confounding results. For future work, we suggest using intersection density as the measure </w:t>
      </w:r>
      <w:r w:rsidR="00E677D5">
        <w:rPr>
          <w:noProof/>
        </w:rPr>
        <w:t>of</w:t>
      </w:r>
      <w:r w:rsidR="0019511D">
        <w:t xml:space="preserve"> pedestrian connectivity. </w:t>
      </w:r>
    </w:p>
    <w:p w14:paraId="7156285E" w14:textId="59AE2753" w:rsidR="00DA699A" w:rsidRDefault="00DC06F2" w:rsidP="00320FDE">
      <w:pPr>
        <w:pStyle w:val="BodyText"/>
      </w:pPr>
      <w:r w:rsidRPr="00551461">
        <w:t>The</w:t>
      </w:r>
      <w:r w:rsidR="00521574" w:rsidRPr="00551461">
        <w:t xml:space="preserve"> </w:t>
      </w:r>
      <w:r w:rsidR="0019511D">
        <w:t xml:space="preserve">standardized coefficients for </w:t>
      </w:r>
      <w:r w:rsidR="00521574" w:rsidRPr="00551461">
        <w:t xml:space="preserve">employment density and </w:t>
      </w:r>
      <w:r w:rsidR="0019511D">
        <w:t>retail</w:t>
      </w:r>
      <w:r w:rsidR="00521574" w:rsidRPr="00551461">
        <w:t xml:space="preserve"> and entertainment employment density </w:t>
      </w:r>
      <w:r w:rsidR="0019511D">
        <w:t xml:space="preserve">are also variable across the cities. The values for employment density range from a low of </w:t>
      </w:r>
      <w:r w:rsidR="0019511D" w:rsidRPr="006A1058">
        <w:t>0.</w:t>
      </w:r>
      <w:r w:rsidR="004542D0" w:rsidRPr="006A1058">
        <w:t>0</w:t>
      </w:r>
      <w:r w:rsidR="0023796A" w:rsidRPr="0023796A">
        <w:t>2</w:t>
      </w:r>
      <w:r w:rsidR="004542D0">
        <w:t xml:space="preserve"> </w:t>
      </w:r>
      <w:r w:rsidR="003E4A97">
        <w:t xml:space="preserve">in Los Angeles to a high of </w:t>
      </w:r>
      <w:r w:rsidR="003E4A97" w:rsidRPr="006A1058">
        <w:t>0.</w:t>
      </w:r>
      <w:r w:rsidR="0023796A" w:rsidRPr="0023796A">
        <w:t>14</w:t>
      </w:r>
      <w:r w:rsidR="0023796A">
        <w:t xml:space="preserve"> </w:t>
      </w:r>
      <w:r w:rsidR="003E4A97">
        <w:t xml:space="preserve">in </w:t>
      </w:r>
      <w:r w:rsidR="0023796A">
        <w:t>San Francisco</w:t>
      </w:r>
      <w:r w:rsidR="003E4A97">
        <w:t>.</w:t>
      </w:r>
      <w:r w:rsidR="009E01E5" w:rsidRPr="009E01E5">
        <w:t xml:space="preserve"> Overall, the coefficient values are low compared to the other built environment attributes, and probably the spatial distribution of employ</w:t>
      </w:r>
      <w:r w:rsidR="00106553">
        <w:t xml:space="preserve">ment, </w:t>
      </w:r>
      <w:r w:rsidR="009E01E5" w:rsidRPr="009E01E5">
        <w:t>something that we have not covered here, might explain its influence on walking behavi</w:t>
      </w:r>
      <w:r w:rsidR="009E01E5">
        <w:t>or.</w:t>
      </w:r>
      <w:r w:rsidR="003E4A97">
        <w:t xml:space="preserve"> </w:t>
      </w:r>
      <w:r w:rsidR="00106553">
        <w:t xml:space="preserve">It may also be that employment density is an imperfect proxy for access to destinations and a local accessibility measure or a mixed use measure may be a more stable measure across locations. </w:t>
      </w:r>
    </w:p>
    <w:p w14:paraId="64AF49F9" w14:textId="32102B02" w:rsidR="00E84E38" w:rsidRDefault="00106553" w:rsidP="00320FDE">
      <w:pPr>
        <w:pStyle w:val="BodyText"/>
      </w:pPr>
      <w:r>
        <w:t xml:space="preserve">Narrowing the scope to retail, service, and entertainment establishments, as measured by </w:t>
      </w:r>
      <w:r w:rsidR="004542D0">
        <w:t>ULI</w:t>
      </w:r>
      <w:r>
        <w:t xml:space="preserve"> did not result in a decrease in the variation across places. T</w:t>
      </w:r>
      <w:r w:rsidR="002F65BD">
        <w:t xml:space="preserve">he standardized coefficients varied from a low </w:t>
      </w:r>
      <w:r w:rsidR="00DA699A">
        <w:t xml:space="preserve">of </w:t>
      </w:r>
      <w:r w:rsidR="002F65BD" w:rsidRPr="006A1058">
        <w:t>0.0</w:t>
      </w:r>
      <w:r w:rsidR="00E84E38" w:rsidRPr="006A1058">
        <w:t>2</w:t>
      </w:r>
      <w:r w:rsidR="002F65BD">
        <w:t xml:space="preserve"> for </w:t>
      </w:r>
      <w:r w:rsidR="004542D0">
        <w:t>San Diego</w:t>
      </w:r>
      <w:r w:rsidR="002F65BD">
        <w:t xml:space="preserve"> to </w:t>
      </w:r>
      <w:r w:rsidR="00DA699A">
        <w:t xml:space="preserve">a high of </w:t>
      </w:r>
      <w:r w:rsidR="00DA699A" w:rsidRPr="006A1058">
        <w:t>0.</w:t>
      </w:r>
      <w:r w:rsidR="004542D0" w:rsidRPr="00E84E38">
        <w:t>2</w:t>
      </w:r>
      <w:r w:rsidR="00E84E38" w:rsidRPr="00E84E38">
        <w:t>3</w:t>
      </w:r>
      <w:r w:rsidR="004542D0">
        <w:t xml:space="preserve"> </w:t>
      </w:r>
      <w:r w:rsidR="00DA699A">
        <w:t xml:space="preserve">for </w:t>
      </w:r>
      <w:r w:rsidR="00E84E38">
        <w:t>Minneapolis</w:t>
      </w:r>
      <w:r w:rsidR="00DA699A">
        <w:t>.</w:t>
      </w:r>
      <w:r>
        <w:t xml:space="preserve"> The suggestion to improve the measure of access to destinations holds. </w:t>
      </w:r>
    </w:p>
    <w:p w14:paraId="32D5B3E9" w14:textId="77777777" w:rsidR="006066F0" w:rsidRDefault="00981A23" w:rsidP="00320FDE">
      <w:pPr>
        <w:pStyle w:val="BodyText"/>
      </w:pPr>
      <w:r>
        <w:t xml:space="preserve">These results raise a lot of questions about the cause of these results, including how these variables are distributed across the different regions, where are the locations where walking trips are observed in the sample, and perhaps variations in the trip purposes. But the results suggest that a walkability measure estimated in one location may only be cautiously applied in other regions, if at all. </w:t>
      </w:r>
    </w:p>
    <w:p w14:paraId="0A941D91" w14:textId="10C97A9C" w:rsidR="009F3093" w:rsidRPr="00AE444F" w:rsidRDefault="00E32324" w:rsidP="009F3093">
      <w:pPr>
        <w:pStyle w:val="BodyText"/>
      </w:pPr>
      <w:r>
        <w:t xml:space="preserve">To explore this issue further, we want to </w:t>
      </w:r>
      <w:r w:rsidR="001B2E45">
        <w:t xml:space="preserve">test </w:t>
      </w:r>
      <w:r w:rsidR="00656E7F">
        <w:t>the predictive ability of PIE</w:t>
      </w:r>
      <w:r w:rsidR="00656E7F" w:rsidRPr="0059159F">
        <w:rPr>
          <w:vertAlign w:val="subscript"/>
        </w:rPr>
        <w:t>bg</w:t>
      </w:r>
      <w:r w:rsidR="0059159F">
        <w:t xml:space="preserve"> estimated in one region and applied in a model of walk mode share in another. </w:t>
      </w:r>
      <w:r w:rsidR="006066F0">
        <w:t>In order to</w:t>
      </w:r>
      <w:r w:rsidR="006066F0" w:rsidRPr="006066F0">
        <w:t xml:space="preserve"> </w:t>
      </w:r>
      <w:r w:rsidR="006066F0">
        <w:t>make the broadest comparison, we chose to utilize PIE</w:t>
      </w:r>
      <w:r w:rsidR="006066F0" w:rsidRPr="006066F0">
        <w:rPr>
          <w:vertAlign w:val="subscript"/>
        </w:rPr>
        <w:t>bg</w:t>
      </w:r>
      <w:r w:rsidR="006066F0">
        <w:t xml:space="preserve"> estimated from Portland in a univariate model of walk mode share in Los Angeles - the largest city in our study. </w:t>
      </w:r>
      <w:r w:rsidR="00B13F5D">
        <w:t>We make additional modifications to the process of estimating PIE</w:t>
      </w:r>
      <w:r w:rsidR="00B13F5D" w:rsidRPr="00B13F5D">
        <w:rPr>
          <w:vertAlign w:val="subscript"/>
        </w:rPr>
        <w:t>bg</w:t>
      </w:r>
      <w:r w:rsidR="00B13F5D">
        <w:t xml:space="preserve"> using Portland data.</w:t>
      </w:r>
      <w:r w:rsidR="009F3093" w:rsidRPr="00AE444F">
        <w:t xml:space="preserve"> This time</w:t>
      </w:r>
      <w:r w:rsidR="00B13F5D" w:rsidRPr="00AE444F">
        <w:t xml:space="preserve">, the data </w:t>
      </w:r>
      <w:r w:rsidR="00AE444F" w:rsidRPr="00AE444F">
        <w:t xml:space="preserve">for each built environment measure </w:t>
      </w:r>
      <w:r w:rsidR="001316C5">
        <w:t>(</w:t>
      </w:r>
      <w:r w:rsidR="001316C5" w:rsidRPr="00C226F2">
        <w:rPr>
          <w:noProof/>
        </w:rPr>
        <w:t>x</w:t>
      </w:r>
      <w:r w:rsidR="001316C5" w:rsidRPr="00C226F2">
        <w:rPr>
          <w:noProof/>
          <w:vertAlign w:val="subscript"/>
        </w:rPr>
        <w:t>n</w:t>
      </w:r>
      <w:r w:rsidR="001316C5">
        <w:t xml:space="preserve">) </w:t>
      </w:r>
      <w:r w:rsidR="00B13F5D" w:rsidRPr="00AE444F">
        <w:t>used in the calibration are not scaled at all</w:t>
      </w:r>
      <w:r w:rsidR="00AE444F">
        <w:t xml:space="preserve"> because our aim is not to compare the coefficients but rather apply PIE in a model of walking</w:t>
      </w:r>
      <w:r w:rsidR="00B13F5D" w:rsidRPr="00AE444F">
        <w:t xml:space="preserve">. </w:t>
      </w:r>
      <w:r w:rsidR="00AE444F">
        <w:t xml:space="preserve">Because Portland and Los Angeles have different ranges and distributions of these variables, </w:t>
      </w:r>
      <w:r w:rsidR="00AE444F" w:rsidRPr="006A1058">
        <w:t xml:space="preserve">as shown in </w:t>
      </w:r>
      <w:r w:rsidR="001242F5" w:rsidRPr="006A1058">
        <w:fldChar w:fldCharType="begin"/>
      </w:r>
      <w:r w:rsidR="001242F5" w:rsidRPr="006A1058">
        <w:instrText xml:space="preserve"> REF _Ref522024223 \h </w:instrText>
      </w:r>
      <w:r w:rsidR="006A1058">
        <w:instrText xml:space="preserve"> \* MERGEFORMAT </w:instrText>
      </w:r>
      <w:r w:rsidR="001242F5" w:rsidRPr="006A1058">
        <w:fldChar w:fldCharType="separate"/>
      </w:r>
      <w:r w:rsidR="001242F5" w:rsidRPr="006A1058">
        <w:t xml:space="preserve">Table </w:t>
      </w:r>
      <w:r w:rsidR="001242F5" w:rsidRPr="006A1058">
        <w:rPr>
          <w:noProof/>
        </w:rPr>
        <w:t>5</w:t>
      </w:r>
      <w:r w:rsidR="001242F5" w:rsidRPr="006A1058">
        <w:fldChar w:fldCharType="end"/>
      </w:r>
      <w:r w:rsidR="00AE444F" w:rsidRPr="006A1058">
        <w:t>,</w:t>
      </w:r>
      <w:r w:rsidR="00AE444F">
        <w:t xml:space="preserve"> we needed to ensure that the data were unscaled in the application across different locations.</w:t>
      </w:r>
      <w:r w:rsidR="009F3093" w:rsidRPr="00AE444F">
        <w:t xml:space="preserve"> </w:t>
      </w:r>
      <w:r w:rsidR="00AE444F">
        <w:t xml:space="preserve">Second, population and employment density are re-combined into </w:t>
      </w:r>
      <w:r w:rsidR="001242F5">
        <w:t xml:space="preserve">people per acre. </w:t>
      </w:r>
      <w:r w:rsidR="009F3093" w:rsidRPr="00AE444F">
        <w:t xml:space="preserve">The results are shown in </w:t>
      </w:r>
      <w:r w:rsidR="00C93190">
        <w:fldChar w:fldCharType="begin"/>
      </w:r>
      <w:r w:rsidR="00C93190">
        <w:instrText xml:space="preserve"> REF _Ref516488802 \h </w:instrText>
      </w:r>
      <w:r w:rsidR="00C93190">
        <w:fldChar w:fldCharType="separate"/>
      </w:r>
      <w:r w:rsidR="006A1058">
        <w:t xml:space="preserve">Table </w:t>
      </w:r>
      <w:r w:rsidR="006A1058">
        <w:rPr>
          <w:noProof/>
        </w:rPr>
        <w:t>6</w:t>
      </w:r>
      <w:r w:rsidR="00C93190">
        <w:fldChar w:fldCharType="end"/>
      </w:r>
      <w:r w:rsidR="00C93190">
        <w:t>.</w:t>
      </w:r>
    </w:p>
    <w:p w14:paraId="6F3EEA7C" w14:textId="0CA2CC5F" w:rsidR="009F3093" w:rsidRPr="00A731EB" w:rsidRDefault="00C93190" w:rsidP="00FA1EDF">
      <w:pPr>
        <w:pStyle w:val="Caption"/>
      </w:pPr>
      <w:bookmarkStart w:id="55" w:name="_Ref516488802"/>
      <w:bookmarkStart w:id="56" w:name="_Toc2003595"/>
      <w:r>
        <w:lastRenderedPageBreak/>
        <w:t xml:space="preserve">Table </w:t>
      </w:r>
      <w:r w:rsidR="000657EF">
        <w:rPr>
          <w:noProof/>
        </w:rPr>
        <w:fldChar w:fldCharType="begin"/>
      </w:r>
      <w:r w:rsidR="000657EF">
        <w:rPr>
          <w:noProof/>
        </w:rPr>
        <w:instrText xml:space="preserve"> SEQ Table \* ARABIC </w:instrText>
      </w:r>
      <w:r w:rsidR="000657EF">
        <w:rPr>
          <w:noProof/>
        </w:rPr>
        <w:fldChar w:fldCharType="separate"/>
      </w:r>
      <w:r w:rsidR="006A1058">
        <w:rPr>
          <w:noProof/>
        </w:rPr>
        <w:t>6</w:t>
      </w:r>
      <w:r w:rsidR="000657EF">
        <w:rPr>
          <w:noProof/>
        </w:rPr>
        <w:fldChar w:fldCharType="end"/>
      </w:r>
      <w:bookmarkEnd w:id="55"/>
      <w:r w:rsidR="001242F5">
        <w:rPr>
          <w:noProof/>
        </w:rPr>
        <w:t xml:space="preserve"> Unscaled</w:t>
      </w:r>
      <w:r>
        <w:t xml:space="preserve"> </w:t>
      </w:r>
      <w:r w:rsidR="009F3093">
        <w:t>PIE</w:t>
      </w:r>
      <w:r w:rsidR="009F3093" w:rsidRPr="00A742A9">
        <w:rPr>
          <w:vertAlign w:val="subscript"/>
        </w:rPr>
        <w:t>bg</w:t>
      </w:r>
      <w:r w:rsidR="009F3093">
        <w:t xml:space="preserve"> </w:t>
      </w:r>
      <w:r w:rsidR="00352877">
        <w:t xml:space="preserve">coefficients estimated from </w:t>
      </w:r>
      <w:r w:rsidR="009F3093">
        <w:t>Portland</w:t>
      </w:r>
      <w:r w:rsidR="00352877">
        <w:t xml:space="preserve"> data</w:t>
      </w:r>
      <w:bookmarkEnd w:id="56"/>
    </w:p>
    <w:tbl>
      <w:tblPr>
        <w:tblW w:w="7125" w:type="dxa"/>
        <w:jc w:val="center"/>
        <w:tblLook w:val="04A0" w:firstRow="1" w:lastRow="0" w:firstColumn="1" w:lastColumn="0" w:noHBand="0" w:noVBand="1"/>
      </w:tblPr>
      <w:tblGrid>
        <w:gridCol w:w="2355"/>
        <w:gridCol w:w="90"/>
        <w:gridCol w:w="1530"/>
        <w:gridCol w:w="1620"/>
        <w:gridCol w:w="1530"/>
      </w:tblGrid>
      <w:tr w:rsidR="009F3093" w:rsidRPr="00DB7E02" w14:paraId="33738D20" w14:textId="77777777" w:rsidTr="00F95F4C">
        <w:trPr>
          <w:trHeight w:val="466"/>
          <w:jc w:val="center"/>
        </w:trPr>
        <w:tc>
          <w:tcPr>
            <w:tcW w:w="2355" w:type="dxa"/>
            <w:tcBorders>
              <w:top w:val="single" w:sz="4" w:space="0" w:color="auto"/>
              <w:bottom w:val="single" w:sz="4" w:space="0" w:color="auto"/>
            </w:tcBorders>
            <w:shd w:val="clear" w:color="auto" w:fill="auto"/>
            <w:noWrap/>
            <w:vAlign w:val="bottom"/>
            <w:hideMark/>
          </w:tcPr>
          <w:p w14:paraId="5BB69AB2" w14:textId="76F188F2" w:rsidR="009F3093" w:rsidRPr="00DB7E02" w:rsidRDefault="009F3093" w:rsidP="00F95F4C">
            <w:pPr>
              <w:keepNext/>
              <w:widowControl w:val="0"/>
              <w:jc w:val="center"/>
              <w:rPr>
                <w:b/>
                <w:bCs/>
                <w:color w:val="000000"/>
                <w:sz w:val="20"/>
              </w:rPr>
            </w:pPr>
            <w:r>
              <w:rPr>
                <w:b/>
                <w:bCs/>
                <w:color w:val="000000"/>
                <w:sz w:val="20"/>
              </w:rPr>
              <w:t>Built Environment</w:t>
            </w:r>
            <w:r w:rsidRPr="00DB7E02">
              <w:rPr>
                <w:b/>
                <w:bCs/>
                <w:color w:val="000000"/>
                <w:sz w:val="20"/>
              </w:rPr>
              <w:t xml:space="preserve"> </w:t>
            </w:r>
            <w:r>
              <w:rPr>
                <w:b/>
                <w:bCs/>
                <w:color w:val="000000"/>
                <w:sz w:val="20"/>
              </w:rPr>
              <w:t>v</w:t>
            </w:r>
            <w:r w:rsidRPr="00DB7E02">
              <w:rPr>
                <w:b/>
                <w:bCs/>
                <w:color w:val="000000"/>
                <w:sz w:val="20"/>
              </w:rPr>
              <w:t>ariable (</w:t>
            </w:r>
            <w:r w:rsidR="001242F5" w:rsidRPr="00C226F2">
              <w:rPr>
                <w:b/>
                <w:bCs/>
                <w:i/>
                <w:noProof/>
                <w:color w:val="000000"/>
                <w:sz w:val="20"/>
              </w:rPr>
              <w:t>x</w:t>
            </w:r>
            <w:r w:rsidRPr="00C226F2">
              <w:rPr>
                <w:b/>
                <w:bCs/>
                <w:noProof/>
                <w:color w:val="000000"/>
                <w:sz w:val="20"/>
                <w:vertAlign w:val="subscript"/>
              </w:rPr>
              <w:t>n</w:t>
            </w:r>
            <w:r w:rsidRPr="00DB7E02">
              <w:rPr>
                <w:b/>
                <w:bCs/>
                <w:color w:val="000000"/>
                <w:sz w:val="20"/>
              </w:rPr>
              <w:t>)</w:t>
            </w:r>
            <w:r>
              <w:rPr>
                <w:rStyle w:val="FootnoteReference"/>
                <w:b/>
                <w:bCs/>
                <w:color w:val="000000"/>
                <w:sz w:val="20"/>
              </w:rPr>
              <w:footnoteReference w:id="1"/>
            </w:r>
          </w:p>
        </w:tc>
        <w:tc>
          <w:tcPr>
            <w:tcW w:w="1620" w:type="dxa"/>
            <w:gridSpan w:val="2"/>
            <w:tcBorders>
              <w:top w:val="single" w:sz="4" w:space="0" w:color="auto"/>
              <w:bottom w:val="single" w:sz="4" w:space="0" w:color="auto"/>
            </w:tcBorders>
            <w:shd w:val="clear" w:color="auto" w:fill="auto"/>
            <w:noWrap/>
            <w:vAlign w:val="bottom"/>
            <w:hideMark/>
          </w:tcPr>
          <w:p w14:paraId="07597E0D" w14:textId="77777777" w:rsidR="009F3093" w:rsidRPr="00DB7E02" w:rsidRDefault="009F3093" w:rsidP="00F95F4C">
            <w:pPr>
              <w:keepNext/>
              <w:widowControl w:val="0"/>
              <w:jc w:val="center"/>
              <w:rPr>
                <w:b/>
                <w:bCs/>
                <w:color w:val="000000"/>
                <w:sz w:val="20"/>
              </w:rPr>
            </w:pPr>
            <w:r w:rsidRPr="00DB7E02">
              <w:rPr>
                <w:b/>
                <w:bCs/>
                <w:color w:val="000000"/>
                <w:sz w:val="20"/>
              </w:rPr>
              <w:t>Coefficient (</w:t>
            </w:r>
            <w:r w:rsidRPr="00DB7E02">
              <w:rPr>
                <w:b/>
                <w:bCs/>
                <w:i/>
                <w:color w:val="000000"/>
                <w:sz w:val="20"/>
              </w:rPr>
              <w:t>β</w:t>
            </w:r>
            <w:r w:rsidRPr="00DB7E02">
              <w:rPr>
                <w:b/>
                <w:bCs/>
                <w:color w:val="000000"/>
                <w:sz w:val="20"/>
              </w:rPr>
              <w:t>)</w:t>
            </w:r>
          </w:p>
        </w:tc>
        <w:tc>
          <w:tcPr>
            <w:tcW w:w="1620" w:type="dxa"/>
            <w:tcBorders>
              <w:top w:val="single" w:sz="4" w:space="0" w:color="auto"/>
              <w:bottom w:val="single" w:sz="4" w:space="0" w:color="auto"/>
            </w:tcBorders>
            <w:shd w:val="clear" w:color="auto" w:fill="auto"/>
            <w:noWrap/>
            <w:vAlign w:val="bottom"/>
            <w:hideMark/>
          </w:tcPr>
          <w:p w14:paraId="0F4574F8" w14:textId="77777777" w:rsidR="009F3093" w:rsidRPr="00DB7E02" w:rsidRDefault="009F3093" w:rsidP="00F95F4C">
            <w:pPr>
              <w:keepNext/>
              <w:widowControl w:val="0"/>
              <w:jc w:val="center"/>
              <w:rPr>
                <w:b/>
                <w:bCs/>
                <w:color w:val="000000"/>
                <w:sz w:val="20"/>
              </w:rPr>
            </w:pPr>
            <w:r w:rsidRPr="00DB7E02">
              <w:rPr>
                <w:b/>
                <w:bCs/>
                <w:color w:val="000000"/>
                <w:sz w:val="20"/>
              </w:rPr>
              <w:t>p-value</w:t>
            </w:r>
          </w:p>
        </w:tc>
        <w:tc>
          <w:tcPr>
            <w:tcW w:w="1530" w:type="dxa"/>
            <w:tcBorders>
              <w:top w:val="single" w:sz="4" w:space="0" w:color="auto"/>
              <w:bottom w:val="single" w:sz="4" w:space="0" w:color="auto"/>
            </w:tcBorders>
            <w:shd w:val="clear" w:color="auto" w:fill="auto"/>
            <w:vAlign w:val="bottom"/>
            <w:hideMark/>
          </w:tcPr>
          <w:p w14:paraId="76A50311" w14:textId="77777777" w:rsidR="009F3093" w:rsidRPr="00DB7E02" w:rsidRDefault="009F3093" w:rsidP="00F95F4C">
            <w:pPr>
              <w:keepNext/>
              <w:widowControl w:val="0"/>
              <w:jc w:val="center"/>
              <w:rPr>
                <w:b/>
                <w:bCs/>
                <w:color w:val="000000"/>
                <w:sz w:val="20"/>
              </w:rPr>
            </w:pPr>
            <w:r w:rsidRPr="00DB7E02">
              <w:rPr>
                <w:b/>
                <w:bCs/>
                <w:color w:val="000000"/>
                <w:sz w:val="20"/>
              </w:rPr>
              <w:t xml:space="preserve">Model </w:t>
            </w:r>
            <w:r w:rsidRPr="00DB7E02">
              <w:rPr>
                <w:b/>
                <w:bCs/>
                <w:color w:val="000000"/>
                <w:sz w:val="20"/>
              </w:rPr>
              <w:br/>
              <w:t>pseudo-R</w:t>
            </w:r>
            <w:r w:rsidRPr="00DB7E02">
              <w:rPr>
                <w:b/>
                <w:bCs/>
                <w:color w:val="000000"/>
                <w:sz w:val="20"/>
                <w:vertAlign w:val="superscript"/>
              </w:rPr>
              <w:t>2</w:t>
            </w:r>
          </w:p>
        </w:tc>
      </w:tr>
      <w:tr w:rsidR="009F3093" w:rsidRPr="00DB7E02" w14:paraId="03813510" w14:textId="77777777" w:rsidTr="00F95F4C">
        <w:trPr>
          <w:trHeight w:val="144"/>
          <w:jc w:val="center"/>
        </w:trPr>
        <w:tc>
          <w:tcPr>
            <w:tcW w:w="2355" w:type="dxa"/>
            <w:tcBorders>
              <w:top w:val="single" w:sz="4" w:space="0" w:color="auto"/>
            </w:tcBorders>
            <w:shd w:val="clear" w:color="auto" w:fill="auto"/>
            <w:noWrap/>
            <w:vAlign w:val="bottom"/>
          </w:tcPr>
          <w:p w14:paraId="72F9D878" w14:textId="77777777" w:rsidR="009F3093" w:rsidRPr="00DB7E02" w:rsidRDefault="009F3093" w:rsidP="00F95F4C">
            <w:pPr>
              <w:keepNext/>
              <w:widowControl w:val="0"/>
              <w:rPr>
                <w:b/>
                <w:bCs/>
                <w:i/>
                <w:color w:val="000000"/>
                <w:sz w:val="20"/>
              </w:rPr>
            </w:pPr>
            <w:r w:rsidRPr="00DB7E02">
              <w:rPr>
                <w:b/>
                <w:bCs/>
                <w:i/>
                <w:color w:val="000000"/>
                <w:sz w:val="20"/>
              </w:rPr>
              <w:t>Model 1</w:t>
            </w:r>
          </w:p>
        </w:tc>
        <w:tc>
          <w:tcPr>
            <w:tcW w:w="1620" w:type="dxa"/>
            <w:gridSpan w:val="2"/>
            <w:tcBorders>
              <w:top w:val="single" w:sz="4" w:space="0" w:color="auto"/>
            </w:tcBorders>
            <w:shd w:val="clear" w:color="auto" w:fill="auto"/>
            <w:noWrap/>
            <w:vAlign w:val="bottom"/>
          </w:tcPr>
          <w:p w14:paraId="75F2573F" w14:textId="77777777" w:rsidR="009F3093" w:rsidRPr="00DB7E02" w:rsidRDefault="009F3093" w:rsidP="00F95F4C">
            <w:pPr>
              <w:keepNext/>
              <w:widowControl w:val="0"/>
              <w:jc w:val="center"/>
              <w:rPr>
                <w:b/>
                <w:bCs/>
                <w:i/>
                <w:color w:val="000000"/>
                <w:sz w:val="20"/>
              </w:rPr>
            </w:pPr>
          </w:p>
        </w:tc>
        <w:tc>
          <w:tcPr>
            <w:tcW w:w="1620" w:type="dxa"/>
            <w:tcBorders>
              <w:top w:val="single" w:sz="4" w:space="0" w:color="auto"/>
            </w:tcBorders>
            <w:shd w:val="clear" w:color="auto" w:fill="auto"/>
            <w:noWrap/>
            <w:vAlign w:val="bottom"/>
          </w:tcPr>
          <w:p w14:paraId="6D09FC34" w14:textId="77777777" w:rsidR="009F3093" w:rsidRPr="00DB7E02" w:rsidRDefault="009F3093" w:rsidP="00F95F4C">
            <w:pPr>
              <w:keepNext/>
              <w:widowControl w:val="0"/>
              <w:jc w:val="center"/>
              <w:rPr>
                <w:b/>
                <w:bCs/>
                <w:i/>
                <w:color w:val="000000"/>
                <w:sz w:val="20"/>
              </w:rPr>
            </w:pPr>
          </w:p>
        </w:tc>
        <w:tc>
          <w:tcPr>
            <w:tcW w:w="1530" w:type="dxa"/>
            <w:tcBorders>
              <w:top w:val="single" w:sz="4" w:space="0" w:color="auto"/>
            </w:tcBorders>
            <w:shd w:val="clear" w:color="auto" w:fill="auto"/>
            <w:noWrap/>
            <w:vAlign w:val="center"/>
          </w:tcPr>
          <w:p w14:paraId="331D3B85" w14:textId="77777777" w:rsidR="009F3093" w:rsidRPr="00DB7E02" w:rsidRDefault="009F3093" w:rsidP="00F95F4C">
            <w:pPr>
              <w:keepNext/>
              <w:widowControl w:val="0"/>
              <w:jc w:val="center"/>
              <w:rPr>
                <w:i/>
                <w:color w:val="000000"/>
                <w:sz w:val="20"/>
              </w:rPr>
            </w:pPr>
            <w:r>
              <w:rPr>
                <w:color w:val="000000"/>
                <w:sz w:val="20"/>
              </w:rPr>
              <w:t>0.03</w:t>
            </w:r>
          </w:p>
        </w:tc>
      </w:tr>
      <w:tr w:rsidR="009F3093" w:rsidRPr="00DB7E02" w14:paraId="3A7E13A8" w14:textId="77777777" w:rsidTr="00F95F4C">
        <w:trPr>
          <w:trHeight w:val="144"/>
          <w:jc w:val="center"/>
        </w:trPr>
        <w:tc>
          <w:tcPr>
            <w:tcW w:w="2355" w:type="dxa"/>
            <w:shd w:val="clear" w:color="auto" w:fill="auto"/>
            <w:noWrap/>
            <w:vAlign w:val="bottom"/>
            <w:hideMark/>
          </w:tcPr>
          <w:p w14:paraId="0EDD4ED4" w14:textId="77777777" w:rsidR="009F3093" w:rsidRPr="00DB7E02" w:rsidRDefault="009F3093" w:rsidP="00F95F4C">
            <w:pPr>
              <w:keepNext/>
              <w:widowControl w:val="0"/>
              <w:ind w:left="215"/>
              <w:rPr>
                <w:bCs/>
                <w:color w:val="000000"/>
                <w:sz w:val="20"/>
              </w:rPr>
            </w:pPr>
            <w:r>
              <w:rPr>
                <w:bCs/>
                <w:color w:val="000000"/>
                <w:sz w:val="20"/>
              </w:rPr>
              <w:t>People per acre</w:t>
            </w:r>
            <w:r w:rsidRPr="00DB7E02">
              <w:rPr>
                <w:bCs/>
                <w:color w:val="000000"/>
                <w:sz w:val="20"/>
              </w:rPr>
              <w:t xml:space="preserve"> </w:t>
            </w:r>
          </w:p>
        </w:tc>
        <w:tc>
          <w:tcPr>
            <w:tcW w:w="1620" w:type="dxa"/>
            <w:gridSpan w:val="2"/>
            <w:shd w:val="clear" w:color="auto" w:fill="auto"/>
            <w:noWrap/>
            <w:vAlign w:val="bottom"/>
            <w:hideMark/>
          </w:tcPr>
          <w:p w14:paraId="5B25CE57" w14:textId="77777777" w:rsidR="009F3093" w:rsidRPr="00DB7E02" w:rsidRDefault="009F3093" w:rsidP="00F95F4C">
            <w:pPr>
              <w:keepNext/>
              <w:widowControl w:val="0"/>
              <w:jc w:val="center"/>
              <w:rPr>
                <w:bCs/>
                <w:color w:val="000000"/>
                <w:sz w:val="20"/>
              </w:rPr>
            </w:pPr>
            <w:r>
              <w:rPr>
                <w:bCs/>
                <w:color w:val="000000"/>
                <w:sz w:val="20"/>
              </w:rPr>
              <w:t>0.007</w:t>
            </w:r>
          </w:p>
        </w:tc>
        <w:tc>
          <w:tcPr>
            <w:tcW w:w="1620" w:type="dxa"/>
            <w:shd w:val="clear" w:color="auto" w:fill="auto"/>
            <w:noWrap/>
            <w:vAlign w:val="bottom"/>
            <w:hideMark/>
          </w:tcPr>
          <w:p w14:paraId="5469C9B4" w14:textId="77777777" w:rsidR="009F3093" w:rsidRPr="00DB7E02" w:rsidRDefault="009F3093" w:rsidP="00F95F4C">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796BE005" w14:textId="77777777" w:rsidR="009F3093" w:rsidRPr="00DB7E02" w:rsidRDefault="009F3093" w:rsidP="00F95F4C">
            <w:pPr>
              <w:keepNext/>
              <w:widowControl w:val="0"/>
              <w:jc w:val="center"/>
              <w:rPr>
                <w:color w:val="000000"/>
                <w:sz w:val="20"/>
              </w:rPr>
            </w:pPr>
          </w:p>
        </w:tc>
      </w:tr>
      <w:tr w:rsidR="009F3093" w:rsidRPr="00DB7E02" w14:paraId="0F61D4D0" w14:textId="77777777" w:rsidTr="00F95F4C">
        <w:trPr>
          <w:trHeight w:val="144"/>
          <w:jc w:val="center"/>
        </w:trPr>
        <w:tc>
          <w:tcPr>
            <w:tcW w:w="2355" w:type="dxa"/>
            <w:shd w:val="clear" w:color="auto" w:fill="auto"/>
            <w:noWrap/>
            <w:vAlign w:val="bottom"/>
            <w:hideMark/>
          </w:tcPr>
          <w:p w14:paraId="11C4E6FB" w14:textId="77777777" w:rsidR="009F3093" w:rsidRPr="00DB7E02" w:rsidRDefault="009F3093" w:rsidP="00F95F4C">
            <w:pPr>
              <w:keepNext/>
              <w:widowControl w:val="0"/>
              <w:ind w:left="215"/>
              <w:rPr>
                <w:color w:val="000000"/>
                <w:sz w:val="20"/>
              </w:rPr>
            </w:pPr>
            <w:r w:rsidRPr="00DB7E02">
              <w:rPr>
                <w:color w:val="000000"/>
                <w:sz w:val="20"/>
              </w:rPr>
              <w:t>Constant</w:t>
            </w:r>
          </w:p>
        </w:tc>
        <w:tc>
          <w:tcPr>
            <w:tcW w:w="1620" w:type="dxa"/>
            <w:gridSpan w:val="2"/>
            <w:shd w:val="clear" w:color="auto" w:fill="auto"/>
            <w:noWrap/>
            <w:vAlign w:val="bottom"/>
            <w:hideMark/>
          </w:tcPr>
          <w:p w14:paraId="49DDE195" w14:textId="77777777" w:rsidR="009F3093" w:rsidRPr="00DB7E02" w:rsidRDefault="009F3093" w:rsidP="00F95F4C">
            <w:pPr>
              <w:keepNext/>
              <w:widowControl w:val="0"/>
              <w:jc w:val="center"/>
              <w:rPr>
                <w:color w:val="000000"/>
                <w:sz w:val="20"/>
              </w:rPr>
            </w:pPr>
            <w:r>
              <w:rPr>
                <w:color w:val="000000"/>
                <w:sz w:val="20"/>
              </w:rPr>
              <w:t>-2.486</w:t>
            </w:r>
          </w:p>
        </w:tc>
        <w:tc>
          <w:tcPr>
            <w:tcW w:w="1620" w:type="dxa"/>
            <w:shd w:val="clear" w:color="auto" w:fill="auto"/>
            <w:noWrap/>
            <w:vAlign w:val="bottom"/>
            <w:hideMark/>
          </w:tcPr>
          <w:p w14:paraId="6023E605" w14:textId="77777777" w:rsidR="009F3093" w:rsidRPr="00DB7E02" w:rsidRDefault="009F3093" w:rsidP="00F95F4C">
            <w:pPr>
              <w:keepNext/>
              <w:widowControl w:val="0"/>
              <w:jc w:val="center"/>
              <w:rPr>
                <w:color w:val="000000"/>
                <w:sz w:val="20"/>
              </w:rPr>
            </w:pPr>
            <w:r w:rsidRPr="00DB7E02">
              <w:rPr>
                <w:color w:val="000000"/>
                <w:sz w:val="20"/>
              </w:rPr>
              <w:t>0.00</w:t>
            </w:r>
          </w:p>
        </w:tc>
        <w:tc>
          <w:tcPr>
            <w:tcW w:w="1530" w:type="dxa"/>
            <w:vMerge/>
            <w:shd w:val="clear" w:color="auto" w:fill="auto"/>
            <w:vAlign w:val="center"/>
            <w:hideMark/>
          </w:tcPr>
          <w:p w14:paraId="5C3C464D" w14:textId="77777777" w:rsidR="009F3093" w:rsidRPr="00DB7E02" w:rsidRDefault="009F3093" w:rsidP="00F95F4C">
            <w:pPr>
              <w:keepNext/>
              <w:widowControl w:val="0"/>
              <w:jc w:val="center"/>
              <w:rPr>
                <w:color w:val="000000"/>
                <w:sz w:val="20"/>
              </w:rPr>
            </w:pPr>
          </w:p>
        </w:tc>
      </w:tr>
      <w:tr w:rsidR="009F3093" w:rsidRPr="00DB7E02" w14:paraId="2C5A66D4" w14:textId="77777777" w:rsidTr="00F95F4C">
        <w:trPr>
          <w:trHeight w:val="144"/>
          <w:jc w:val="center"/>
        </w:trPr>
        <w:tc>
          <w:tcPr>
            <w:tcW w:w="2355" w:type="dxa"/>
            <w:shd w:val="clear" w:color="auto" w:fill="auto"/>
            <w:noWrap/>
            <w:vAlign w:val="bottom"/>
          </w:tcPr>
          <w:p w14:paraId="372DE510" w14:textId="77777777" w:rsidR="009F3093" w:rsidRPr="00DB7E02" w:rsidRDefault="009F3093" w:rsidP="00F95F4C">
            <w:pPr>
              <w:keepNext/>
              <w:widowControl w:val="0"/>
              <w:rPr>
                <w:b/>
                <w:bCs/>
                <w:i/>
                <w:color w:val="000000"/>
                <w:sz w:val="20"/>
              </w:rPr>
            </w:pPr>
            <w:r w:rsidRPr="00DB7E02">
              <w:rPr>
                <w:b/>
                <w:bCs/>
                <w:i/>
                <w:color w:val="000000"/>
                <w:sz w:val="20"/>
              </w:rPr>
              <w:t>Model 2</w:t>
            </w:r>
          </w:p>
        </w:tc>
        <w:tc>
          <w:tcPr>
            <w:tcW w:w="1620" w:type="dxa"/>
            <w:gridSpan w:val="2"/>
            <w:shd w:val="clear" w:color="auto" w:fill="auto"/>
            <w:noWrap/>
            <w:vAlign w:val="bottom"/>
          </w:tcPr>
          <w:p w14:paraId="76B964CF" w14:textId="77777777" w:rsidR="009F3093" w:rsidRPr="00DB7E02" w:rsidRDefault="009F3093" w:rsidP="00F95F4C">
            <w:pPr>
              <w:keepNext/>
              <w:widowControl w:val="0"/>
              <w:jc w:val="center"/>
              <w:rPr>
                <w:b/>
                <w:bCs/>
                <w:i/>
                <w:color w:val="000000"/>
                <w:sz w:val="20"/>
              </w:rPr>
            </w:pPr>
          </w:p>
        </w:tc>
        <w:tc>
          <w:tcPr>
            <w:tcW w:w="1620" w:type="dxa"/>
            <w:shd w:val="clear" w:color="auto" w:fill="auto"/>
            <w:noWrap/>
            <w:vAlign w:val="bottom"/>
          </w:tcPr>
          <w:p w14:paraId="415D5CC6" w14:textId="77777777" w:rsidR="009F3093" w:rsidRPr="00DB7E02" w:rsidRDefault="009F3093" w:rsidP="00F95F4C">
            <w:pPr>
              <w:keepNext/>
              <w:widowControl w:val="0"/>
              <w:jc w:val="center"/>
              <w:rPr>
                <w:b/>
                <w:bCs/>
                <w:i/>
                <w:color w:val="000000"/>
                <w:sz w:val="20"/>
              </w:rPr>
            </w:pPr>
          </w:p>
        </w:tc>
        <w:tc>
          <w:tcPr>
            <w:tcW w:w="1530" w:type="dxa"/>
            <w:shd w:val="clear" w:color="auto" w:fill="auto"/>
            <w:noWrap/>
            <w:vAlign w:val="center"/>
          </w:tcPr>
          <w:p w14:paraId="35BCF045" w14:textId="77777777" w:rsidR="009F3093" w:rsidRPr="00DB7E02" w:rsidRDefault="009F3093" w:rsidP="00F95F4C">
            <w:pPr>
              <w:keepNext/>
              <w:widowControl w:val="0"/>
              <w:jc w:val="center"/>
              <w:rPr>
                <w:i/>
                <w:color w:val="000000"/>
                <w:sz w:val="20"/>
              </w:rPr>
            </w:pPr>
            <w:r>
              <w:rPr>
                <w:color w:val="000000"/>
                <w:sz w:val="20"/>
              </w:rPr>
              <w:t>0.02</w:t>
            </w:r>
          </w:p>
        </w:tc>
      </w:tr>
      <w:tr w:rsidR="009F3093" w:rsidRPr="00DB7E02" w14:paraId="6970B164" w14:textId="77777777" w:rsidTr="00F95F4C">
        <w:trPr>
          <w:trHeight w:val="144"/>
          <w:jc w:val="center"/>
        </w:trPr>
        <w:tc>
          <w:tcPr>
            <w:tcW w:w="2355" w:type="dxa"/>
            <w:shd w:val="clear" w:color="auto" w:fill="auto"/>
            <w:noWrap/>
            <w:vAlign w:val="bottom"/>
            <w:hideMark/>
          </w:tcPr>
          <w:p w14:paraId="23278BBD" w14:textId="250EAC35" w:rsidR="009F3093" w:rsidRPr="00DB7E02" w:rsidRDefault="00142DCC" w:rsidP="00F95F4C">
            <w:pPr>
              <w:keepNext/>
              <w:widowControl w:val="0"/>
              <w:ind w:left="215"/>
              <w:rPr>
                <w:bCs/>
                <w:color w:val="000000"/>
                <w:sz w:val="20"/>
              </w:rPr>
            </w:pPr>
            <w:r>
              <w:rPr>
                <w:bCs/>
                <w:color w:val="000000"/>
                <w:sz w:val="20"/>
              </w:rPr>
              <w:t>ULI</w:t>
            </w:r>
          </w:p>
        </w:tc>
        <w:tc>
          <w:tcPr>
            <w:tcW w:w="1620" w:type="dxa"/>
            <w:gridSpan w:val="2"/>
            <w:shd w:val="clear" w:color="auto" w:fill="auto"/>
            <w:noWrap/>
            <w:vAlign w:val="bottom"/>
            <w:hideMark/>
          </w:tcPr>
          <w:p w14:paraId="3F289865" w14:textId="77777777" w:rsidR="009F3093" w:rsidRPr="00DB7E02" w:rsidRDefault="009F3093" w:rsidP="00F95F4C">
            <w:pPr>
              <w:keepNext/>
              <w:widowControl w:val="0"/>
              <w:jc w:val="center"/>
              <w:rPr>
                <w:bCs/>
                <w:color w:val="000000"/>
                <w:sz w:val="20"/>
              </w:rPr>
            </w:pPr>
            <w:r>
              <w:rPr>
                <w:bCs/>
                <w:color w:val="000000"/>
                <w:sz w:val="20"/>
              </w:rPr>
              <w:t>0.039</w:t>
            </w:r>
          </w:p>
        </w:tc>
        <w:tc>
          <w:tcPr>
            <w:tcW w:w="1620" w:type="dxa"/>
            <w:shd w:val="clear" w:color="auto" w:fill="auto"/>
            <w:noWrap/>
            <w:vAlign w:val="bottom"/>
            <w:hideMark/>
          </w:tcPr>
          <w:p w14:paraId="136B2027" w14:textId="77777777" w:rsidR="009F3093" w:rsidRPr="00DB7E02" w:rsidRDefault="009F3093" w:rsidP="00F95F4C">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0FBD3A42" w14:textId="77777777" w:rsidR="009F3093" w:rsidRPr="00DB7E02" w:rsidRDefault="009F3093" w:rsidP="00F95F4C">
            <w:pPr>
              <w:keepNext/>
              <w:widowControl w:val="0"/>
              <w:jc w:val="center"/>
              <w:rPr>
                <w:color w:val="000000"/>
                <w:sz w:val="20"/>
              </w:rPr>
            </w:pPr>
          </w:p>
        </w:tc>
      </w:tr>
      <w:tr w:rsidR="009F3093" w:rsidRPr="00DB7E02" w14:paraId="5249B97A" w14:textId="77777777" w:rsidTr="00F95F4C">
        <w:trPr>
          <w:trHeight w:val="144"/>
          <w:jc w:val="center"/>
        </w:trPr>
        <w:tc>
          <w:tcPr>
            <w:tcW w:w="2355" w:type="dxa"/>
            <w:shd w:val="clear" w:color="auto" w:fill="auto"/>
            <w:noWrap/>
            <w:vAlign w:val="bottom"/>
            <w:hideMark/>
          </w:tcPr>
          <w:p w14:paraId="23524B1B" w14:textId="77777777" w:rsidR="009F3093" w:rsidRPr="00DB7E02" w:rsidRDefault="009F3093" w:rsidP="00F95F4C">
            <w:pPr>
              <w:keepNext/>
              <w:widowControl w:val="0"/>
              <w:ind w:left="215"/>
              <w:rPr>
                <w:color w:val="000000"/>
                <w:sz w:val="20"/>
              </w:rPr>
            </w:pPr>
            <w:r w:rsidRPr="00DB7E02">
              <w:rPr>
                <w:color w:val="000000"/>
                <w:sz w:val="20"/>
              </w:rPr>
              <w:t>Constant</w:t>
            </w:r>
          </w:p>
        </w:tc>
        <w:tc>
          <w:tcPr>
            <w:tcW w:w="1620" w:type="dxa"/>
            <w:gridSpan w:val="2"/>
            <w:shd w:val="clear" w:color="auto" w:fill="auto"/>
            <w:noWrap/>
            <w:vAlign w:val="bottom"/>
            <w:hideMark/>
          </w:tcPr>
          <w:p w14:paraId="2718155D" w14:textId="77777777" w:rsidR="009F3093" w:rsidRPr="00DB7E02" w:rsidRDefault="009F3093" w:rsidP="00F95F4C">
            <w:pPr>
              <w:keepNext/>
              <w:widowControl w:val="0"/>
              <w:jc w:val="center"/>
              <w:rPr>
                <w:color w:val="000000"/>
                <w:sz w:val="20"/>
              </w:rPr>
            </w:pPr>
            <w:r>
              <w:rPr>
                <w:color w:val="000000"/>
                <w:sz w:val="20"/>
              </w:rPr>
              <w:t>-2.402</w:t>
            </w:r>
          </w:p>
        </w:tc>
        <w:tc>
          <w:tcPr>
            <w:tcW w:w="1620" w:type="dxa"/>
            <w:shd w:val="clear" w:color="auto" w:fill="auto"/>
            <w:noWrap/>
            <w:vAlign w:val="bottom"/>
            <w:hideMark/>
          </w:tcPr>
          <w:p w14:paraId="61F8605B" w14:textId="77777777" w:rsidR="009F3093" w:rsidRPr="00DB7E02" w:rsidRDefault="009F3093" w:rsidP="00F95F4C">
            <w:pPr>
              <w:keepNext/>
              <w:widowControl w:val="0"/>
              <w:jc w:val="center"/>
              <w:rPr>
                <w:color w:val="000000"/>
                <w:sz w:val="20"/>
              </w:rPr>
            </w:pPr>
            <w:r w:rsidRPr="00DB7E02">
              <w:rPr>
                <w:color w:val="000000"/>
                <w:sz w:val="20"/>
              </w:rPr>
              <w:t>0.00</w:t>
            </w:r>
          </w:p>
        </w:tc>
        <w:tc>
          <w:tcPr>
            <w:tcW w:w="1530" w:type="dxa"/>
            <w:vMerge/>
            <w:shd w:val="clear" w:color="auto" w:fill="auto"/>
            <w:vAlign w:val="center"/>
            <w:hideMark/>
          </w:tcPr>
          <w:p w14:paraId="10957F85" w14:textId="77777777" w:rsidR="009F3093" w:rsidRPr="00DB7E02" w:rsidRDefault="009F3093" w:rsidP="00F95F4C">
            <w:pPr>
              <w:keepNext/>
              <w:widowControl w:val="0"/>
              <w:jc w:val="center"/>
              <w:rPr>
                <w:color w:val="000000"/>
                <w:sz w:val="20"/>
              </w:rPr>
            </w:pPr>
          </w:p>
        </w:tc>
      </w:tr>
      <w:tr w:rsidR="009F3093" w:rsidRPr="00DB7E02" w14:paraId="2D6195D9" w14:textId="77777777" w:rsidTr="00F95F4C">
        <w:trPr>
          <w:trHeight w:val="144"/>
          <w:jc w:val="center"/>
        </w:trPr>
        <w:tc>
          <w:tcPr>
            <w:tcW w:w="2355" w:type="dxa"/>
            <w:shd w:val="clear" w:color="auto" w:fill="auto"/>
            <w:noWrap/>
            <w:vAlign w:val="bottom"/>
          </w:tcPr>
          <w:p w14:paraId="715D64F2" w14:textId="77777777" w:rsidR="009F3093" w:rsidRPr="00DB7E02" w:rsidRDefault="009F3093" w:rsidP="00F95F4C">
            <w:pPr>
              <w:keepNext/>
              <w:widowControl w:val="0"/>
              <w:rPr>
                <w:b/>
                <w:bCs/>
                <w:i/>
                <w:color w:val="000000"/>
                <w:sz w:val="20"/>
              </w:rPr>
            </w:pPr>
            <w:r w:rsidRPr="00DB7E02">
              <w:rPr>
                <w:b/>
                <w:bCs/>
                <w:i/>
                <w:color w:val="000000"/>
                <w:sz w:val="20"/>
              </w:rPr>
              <w:t>Model 3</w:t>
            </w:r>
          </w:p>
        </w:tc>
        <w:tc>
          <w:tcPr>
            <w:tcW w:w="1620" w:type="dxa"/>
            <w:gridSpan w:val="2"/>
            <w:shd w:val="clear" w:color="auto" w:fill="auto"/>
            <w:noWrap/>
            <w:vAlign w:val="bottom"/>
          </w:tcPr>
          <w:p w14:paraId="26F679C6" w14:textId="77777777" w:rsidR="009F3093" w:rsidRPr="00DB7E02" w:rsidRDefault="009F3093" w:rsidP="00F95F4C">
            <w:pPr>
              <w:keepNext/>
              <w:widowControl w:val="0"/>
              <w:jc w:val="center"/>
              <w:rPr>
                <w:b/>
                <w:bCs/>
                <w:i/>
                <w:color w:val="000000"/>
                <w:sz w:val="20"/>
              </w:rPr>
            </w:pPr>
          </w:p>
        </w:tc>
        <w:tc>
          <w:tcPr>
            <w:tcW w:w="1620" w:type="dxa"/>
            <w:shd w:val="clear" w:color="auto" w:fill="auto"/>
            <w:noWrap/>
            <w:vAlign w:val="bottom"/>
          </w:tcPr>
          <w:p w14:paraId="58AA5D19" w14:textId="77777777" w:rsidR="009F3093" w:rsidRPr="00DB7E02" w:rsidRDefault="009F3093" w:rsidP="00F95F4C">
            <w:pPr>
              <w:keepNext/>
              <w:widowControl w:val="0"/>
              <w:jc w:val="center"/>
              <w:rPr>
                <w:b/>
                <w:bCs/>
                <w:i/>
                <w:color w:val="000000"/>
                <w:sz w:val="20"/>
              </w:rPr>
            </w:pPr>
          </w:p>
        </w:tc>
        <w:tc>
          <w:tcPr>
            <w:tcW w:w="1530" w:type="dxa"/>
            <w:shd w:val="clear" w:color="auto" w:fill="auto"/>
            <w:noWrap/>
            <w:vAlign w:val="center"/>
          </w:tcPr>
          <w:p w14:paraId="1AC25C74" w14:textId="77777777" w:rsidR="009F3093" w:rsidRPr="00DB7E02" w:rsidRDefault="009F3093" w:rsidP="00F95F4C">
            <w:pPr>
              <w:keepNext/>
              <w:widowControl w:val="0"/>
              <w:jc w:val="center"/>
              <w:rPr>
                <w:i/>
                <w:color w:val="000000"/>
                <w:sz w:val="20"/>
              </w:rPr>
            </w:pPr>
            <w:r>
              <w:rPr>
                <w:color w:val="000000"/>
                <w:sz w:val="20"/>
              </w:rPr>
              <w:t>0.05</w:t>
            </w:r>
          </w:p>
        </w:tc>
      </w:tr>
      <w:tr w:rsidR="009F3093" w:rsidRPr="00DB7E02" w14:paraId="0F0F8D05" w14:textId="77777777" w:rsidTr="00F95F4C">
        <w:trPr>
          <w:trHeight w:val="144"/>
          <w:jc w:val="center"/>
        </w:trPr>
        <w:tc>
          <w:tcPr>
            <w:tcW w:w="2355" w:type="dxa"/>
            <w:shd w:val="clear" w:color="auto" w:fill="auto"/>
            <w:noWrap/>
            <w:vAlign w:val="bottom"/>
            <w:hideMark/>
          </w:tcPr>
          <w:p w14:paraId="13BE7928" w14:textId="77777777" w:rsidR="009F3093" w:rsidRPr="00DB7E02" w:rsidRDefault="009F3093" w:rsidP="00F95F4C">
            <w:pPr>
              <w:keepNext/>
              <w:widowControl w:val="0"/>
              <w:ind w:left="215"/>
              <w:rPr>
                <w:bCs/>
                <w:color w:val="000000"/>
                <w:sz w:val="20"/>
              </w:rPr>
            </w:pPr>
            <w:r>
              <w:rPr>
                <w:bCs/>
                <w:color w:val="000000"/>
                <w:sz w:val="20"/>
              </w:rPr>
              <w:t>Road network density</w:t>
            </w:r>
          </w:p>
        </w:tc>
        <w:tc>
          <w:tcPr>
            <w:tcW w:w="1620" w:type="dxa"/>
            <w:gridSpan w:val="2"/>
            <w:shd w:val="clear" w:color="auto" w:fill="auto"/>
            <w:noWrap/>
            <w:vAlign w:val="bottom"/>
            <w:hideMark/>
          </w:tcPr>
          <w:p w14:paraId="0D3AA669" w14:textId="77777777" w:rsidR="009F3093" w:rsidRPr="00DB7E02" w:rsidRDefault="009F3093" w:rsidP="00F95F4C">
            <w:pPr>
              <w:keepNext/>
              <w:widowControl w:val="0"/>
              <w:jc w:val="center"/>
              <w:rPr>
                <w:bCs/>
                <w:color w:val="000000"/>
                <w:sz w:val="20"/>
              </w:rPr>
            </w:pPr>
            <w:r>
              <w:rPr>
                <w:bCs/>
                <w:color w:val="000000"/>
                <w:sz w:val="20"/>
              </w:rPr>
              <w:t>0.052</w:t>
            </w:r>
          </w:p>
        </w:tc>
        <w:tc>
          <w:tcPr>
            <w:tcW w:w="1620" w:type="dxa"/>
            <w:shd w:val="clear" w:color="auto" w:fill="auto"/>
            <w:noWrap/>
            <w:vAlign w:val="bottom"/>
            <w:hideMark/>
          </w:tcPr>
          <w:p w14:paraId="1E0ECA6F" w14:textId="77777777" w:rsidR="009F3093" w:rsidRPr="00DB7E02" w:rsidRDefault="009F3093" w:rsidP="00F95F4C">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3878D852" w14:textId="77777777" w:rsidR="009F3093" w:rsidRPr="00DB7E02" w:rsidRDefault="009F3093" w:rsidP="00F95F4C">
            <w:pPr>
              <w:keepNext/>
              <w:widowControl w:val="0"/>
              <w:jc w:val="center"/>
              <w:rPr>
                <w:color w:val="000000"/>
                <w:sz w:val="20"/>
              </w:rPr>
            </w:pPr>
          </w:p>
        </w:tc>
      </w:tr>
      <w:tr w:rsidR="009F3093" w:rsidRPr="00DB7E02" w14:paraId="47A52E2C" w14:textId="77777777" w:rsidTr="00F95F4C">
        <w:trPr>
          <w:trHeight w:val="144"/>
          <w:jc w:val="center"/>
        </w:trPr>
        <w:tc>
          <w:tcPr>
            <w:tcW w:w="2355" w:type="dxa"/>
            <w:shd w:val="clear" w:color="auto" w:fill="auto"/>
            <w:noWrap/>
            <w:vAlign w:val="bottom"/>
            <w:hideMark/>
          </w:tcPr>
          <w:p w14:paraId="62A1BA60" w14:textId="77777777" w:rsidR="009F3093" w:rsidRPr="00DB7E02" w:rsidRDefault="009F3093" w:rsidP="00F95F4C">
            <w:pPr>
              <w:keepNext/>
              <w:widowControl w:val="0"/>
              <w:ind w:left="215"/>
              <w:rPr>
                <w:color w:val="000000"/>
                <w:sz w:val="20"/>
              </w:rPr>
            </w:pPr>
            <w:r w:rsidRPr="00DB7E02">
              <w:rPr>
                <w:color w:val="000000"/>
                <w:sz w:val="20"/>
              </w:rPr>
              <w:t>Constant</w:t>
            </w:r>
          </w:p>
        </w:tc>
        <w:tc>
          <w:tcPr>
            <w:tcW w:w="1620" w:type="dxa"/>
            <w:gridSpan w:val="2"/>
            <w:shd w:val="clear" w:color="auto" w:fill="auto"/>
            <w:noWrap/>
            <w:vAlign w:val="bottom"/>
            <w:hideMark/>
          </w:tcPr>
          <w:p w14:paraId="7177F29A" w14:textId="77777777" w:rsidR="009F3093" w:rsidRPr="00DB7E02" w:rsidRDefault="009F3093" w:rsidP="00F95F4C">
            <w:pPr>
              <w:keepNext/>
              <w:widowControl w:val="0"/>
              <w:jc w:val="center"/>
              <w:rPr>
                <w:color w:val="000000"/>
                <w:sz w:val="20"/>
              </w:rPr>
            </w:pPr>
            <w:r>
              <w:rPr>
                <w:color w:val="000000"/>
                <w:sz w:val="20"/>
              </w:rPr>
              <w:t>-3.463</w:t>
            </w:r>
          </w:p>
        </w:tc>
        <w:tc>
          <w:tcPr>
            <w:tcW w:w="1620" w:type="dxa"/>
            <w:shd w:val="clear" w:color="auto" w:fill="auto"/>
            <w:noWrap/>
            <w:vAlign w:val="bottom"/>
            <w:hideMark/>
          </w:tcPr>
          <w:p w14:paraId="21A2F635" w14:textId="77777777" w:rsidR="009F3093" w:rsidRPr="00DB7E02" w:rsidRDefault="009F3093" w:rsidP="00F95F4C">
            <w:pPr>
              <w:keepNext/>
              <w:widowControl w:val="0"/>
              <w:jc w:val="center"/>
              <w:rPr>
                <w:color w:val="000000"/>
                <w:sz w:val="20"/>
              </w:rPr>
            </w:pPr>
            <w:r w:rsidRPr="00DB7E02">
              <w:rPr>
                <w:color w:val="000000"/>
                <w:sz w:val="20"/>
              </w:rPr>
              <w:t>0.00</w:t>
            </w:r>
          </w:p>
        </w:tc>
        <w:tc>
          <w:tcPr>
            <w:tcW w:w="1530" w:type="dxa"/>
            <w:vMerge/>
            <w:shd w:val="clear" w:color="auto" w:fill="auto"/>
            <w:vAlign w:val="center"/>
            <w:hideMark/>
          </w:tcPr>
          <w:p w14:paraId="03CC1744" w14:textId="77777777" w:rsidR="009F3093" w:rsidRPr="00DB7E02" w:rsidRDefault="009F3093" w:rsidP="00F95F4C">
            <w:pPr>
              <w:keepNext/>
              <w:widowControl w:val="0"/>
              <w:jc w:val="center"/>
              <w:rPr>
                <w:color w:val="000000"/>
                <w:sz w:val="20"/>
              </w:rPr>
            </w:pPr>
          </w:p>
        </w:tc>
      </w:tr>
      <w:tr w:rsidR="009F3093" w:rsidRPr="00DB7E02" w14:paraId="7853E6D3" w14:textId="77777777" w:rsidTr="00F95F4C">
        <w:trPr>
          <w:trHeight w:val="144"/>
          <w:jc w:val="center"/>
        </w:trPr>
        <w:tc>
          <w:tcPr>
            <w:tcW w:w="2355" w:type="dxa"/>
            <w:shd w:val="clear" w:color="auto" w:fill="auto"/>
            <w:noWrap/>
            <w:vAlign w:val="bottom"/>
          </w:tcPr>
          <w:p w14:paraId="26E916BE" w14:textId="77777777" w:rsidR="009F3093" w:rsidRPr="00DB7E02" w:rsidRDefault="009F3093" w:rsidP="00F95F4C">
            <w:pPr>
              <w:keepNext/>
              <w:widowControl w:val="0"/>
              <w:rPr>
                <w:b/>
                <w:bCs/>
                <w:i/>
                <w:color w:val="000000"/>
                <w:sz w:val="20"/>
              </w:rPr>
            </w:pPr>
            <w:r w:rsidRPr="00DB7E02">
              <w:rPr>
                <w:b/>
                <w:bCs/>
                <w:i/>
                <w:color w:val="000000"/>
                <w:sz w:val="20"/>
              </w:rPr>
              <w:t>Model 4</w:t>
            </w:r>
          </w:p>
        </w:tc>
        <w:tc>
          <w:tcPr>
            <w:tcW w:w="1620" w:type="dxa"/>
            <w:gridSpan w:val="2"/>
            <w:shd w:val="clear" w:color="auto" w:fill="auto"/>
            <w:noWrap/>
            <w:vAlign w:val="bottom"/>
          </w:tcPr>
          <w:p w14:paraId="571A38CF" w14:textId="77777777" w:rsidR="009F3093" w:rsidRPr="00DB7E02" w:rsidRDefault="009F3093" w:rsidP="00F95F4C">
            <w:pPr>
              <w:keepNext/>
              <w:widowControl w:val="0"/>
              <w:jc w:val="center"/>
              <w:rPr>
                <w:b/>
                <w:bCs/>
                <w:i/>
                <w:color w:val="000000"/>
                <w:sz w:val="20"/>
              </w:rPr>
            </w:pPr>
          </w:p>
        </w:tc>
        <w:tc>
          <w:tcPr>
            <w:tcW w:w="1620" w:type="dxa"/>
            <w:shd w:val="clear" w:color="auto" w:fill="auto"/>
            <w:noWrap/>
            <w:vAlign w:val="bottom"/>
          </w:tcPr>
          <w:p w14:paraId="24024979" w14:textId="77777777" w:rsidR="009F3093" w:rsidRPr="00DB7E02" w:rsidRDefault="009F3093" w:rsidP="00F95F4C">
            <w:pPr>
              <w:keepNext/>
              <w:widowControl w:val="0"/>
              <w:jc w:val="center"/>
              <w:rPr>
                <w:b/>
                <w:bCs/>
                <w:i/>
                <w:color w:val="000000"/>
                <w:sz w:val="20"/>
              </w:rPr>
            </w:pPr>
          </w:p>
        </w:tc>
        <w:tc>
          <w:tcPr>
            <w:tcW w:w="1530" w:type="dxa"/>
            <w:shd w:val="clear" w:color="auto" w:fill="auto"/>
            <w:noWrap/>
            <w:vAlign w:val="center"/>
          </w:tcPr>
          <w:p w14:paraId="06C96C7F" w14:textId="77777777" w:rsidR="009F3093" w:rsidRPr="00DB7E02" w:rsidRDefault="009F3093" w:rsidP="00F95F4C">
            <w:pPr>
              <w:keepNext/>
              <w:widowControl w:val="0"/>
              <w:jc w:val="center"/>
              <w:rPr>
                <w:i/>
                <w:color w:val="000000"/>
                <w:sz w:val="20"/>
              </w:rPr>
            </w:pPr>
            <w:r>
              <w:rPr>
                <w:color w:val="000000"/>
                <w:sz w:val="20"/>
              </w:rPr>
              <w:t>0.04</w:t>
            </w:r>
          </w:p>
        </w:tc>
      </w:tr>
      <w:tr w:rsidR="009F3093" w:rsidRPr="00DB7E02" w14:paraId="43C392B7" w14:textId="77777777" w:rsidTr="00F95F4C">
        <w:trPr>
          <w:trHeight w:val="144"/>
          <w:jc w:val="center"/>
        </w:trPr>
        <w:tc>
          <w:tcPr>
            <w:tcW w:w="2355" w:type="dxa"/>
            <w:shd w:val="clear" w:color="auto" w:fill="auto"/>
            <w:noWrap/>
            <w:vAlign w:val="bottom"/>
            <w:hideMark/>
          </w:tcPr>
          <w:p w14:paraId="45CB30AD" w14:textId="77777777" w:rsidR="009F3093" w:rsidRPr="00DB7E02" w:rsidRDefault="009F3093" w:rsidP="00F95F4C">
            <w:pPr>
              <w:keepNext/>
              <w:widowControl w:val="0"/>
              <w:ind w:left="215"/>
              <w:rPr>
                <w:bCs/>
                <w:color w:val="000000"/>
                <w:sz w:val="20"/>
              </w:rPr>
            </w:pPr>
            <w:r>
              <w:rPr>
                <w:bCs/>
                <w:color w:val="000000"/>
                <w:sz w:val="20"/>
              </w:rPr>
              <w:t>Transit access</w:t>
            </w:r>
          </w:p>
        </w:tc>
        <w:tc>
          <w:tcPr>
            <w:tcW w:w="1620" w:type="dxa"/>
            <w:gridSpan w:val="2"/>
            <w:shd w:val="clear" w:color="auto" w:fill="auto"/>
            <w:noWrap/>
            <w:vAlign w:val="bottom"/>
            <w:hideMark/>
          </w:tcPr>
          <w:p w14:paraId="1F1738C9" w14:textId="77777777" w:rsidR="009F3093" w:rsidRPr="00DB7E02" w:rsidRDefault="009F3093" w:rsidP="00F95F4C">
            <w:pPr>
              <w:keepNext/>
              <w:widowControl w:val="0"/>
              <w:jc w:val="center"/>
              <w:rPr>
                <w:bCs/>
                <w:color w:val="000000"/>
                <w:sz w:val="20"/>
              </w:rPr>
            </w:pPr>
            <w:r>
              <w:rPr>
                <w:bCs/>
                <w:color w:val="000000"/>
                <w:sz w:val="20"/>
              </w:rPr>
              <w:t>0.001</w:t>
            </w:r>
          </w:p>
        </w:tc>
        <w:tc>
          <w:tcPr>
            <w:tcW w:w="1620" w:type="dxa"/>
            <w:shd w:val="clear" w:color="auto" w:fill="auto"/>
            <w:noWrap/>
            <w:vAlign w:val="bottom"/>
            <w:hideMark/>
          </w:tcPr>
          <w:p w14:paraId="58EA4BFD" w14:textId="77777777" w:rsidR="009F3093" w:rsidRPr="00DB7E02" w:rsidRDefault="009F3093" w:rsidP="00F95F4C">
            <w:pPr>
              <w:keepNext/>
              <w:widowControl w:val="0"/>
              <w:jc w:val="center"/>
              <w:rPr>
                <w:bCs/>
                <w:color w:val="000000"/>
                <w:sz w:val="20"/>
              </w:rPr>
            </w:pPr>
            <w:r w:rsidRPr="00DB7E02">
              <w:rPr>
                <w:bCs/>
                <w:color w:val="000000"/>
                <w:sz w:val="20"/>
              </w:rPr>
              <w:t>0.00</w:t>
            </w:r>
          </w:p>
        </w:tc>
        <w:tc>
          <w:tcPr>
            <w:tcW w:w="1530" w:type="dxa"/>
            <w:vMerge w:val="restart"/>
            <w:shd w:val="clear" w:color="auto" w:fill="auto"/>
            <w:noWrap/>
            <w:vAlign w:val="center"/>
            <w:hideMark/>
          </w:tcPr>
          <w:p w14:paraId="2F720200" w14:textId="77777777" w:rsidR="009F3093" w:rsidRPr="00DB7E02" w:rsidRDefault="009F3093" w:rsidP="00F95F4C">
            <w:pPr>
              <w:keepNext/>
              <w:widowControl w:val="0"/>
              <w:jc w:val="center"/>
              <w:rPr>
                <w:color w:val="000000"/>
                <w:sz w:val="20"/>
              </w:rPr>
            </w:pPr>
          </w:p>
        </w:tc>
      </w:tr>
      <w:tr w:rsidR="009F3093" w:rsidRPr="00DB7E02" w14:paraId="0F24AB53" w14:textId="77777777" w:rsidTr="00F95F4C">
        <w:trPr>
          <w:trHeight w:val="144"/>
          <w:jc w:val="center"/>
        </w:trPr>
        <w:tc>
          <w:tcPr>
            <w:tcW w:w="2355" w:type="dxa"/>
            <w:shd w:val="clear" w:color="auto" w:fill="auto"/>
            <w:noWrap/>
            <w:vAlign w:val="bottom"/>
            <w:hideMark/>
          </w:tcPr>
          <w:p w14:paraId="40E052B8" w14:textId="77777777" w:rsidR="009F3093" w:rsidRPr="00DB7E02" w:rsidRDefault="009F3093" w:rsidP="00F95F4C">
            <w:pPr>
              <w:keepNext/>
              <w:widowControl w:val="0"/>
              <w:ind w:left="215"/>
              <w:rPr>
                <w:color w:val="000000"/>
                <w:sz w:val="20"/>
              </w:rPr>
            </w:pPr>
            <w:r w:rsidRPr="00DB7E02">
              <w:rPr>
                <w:color w:val="000000"/>
                <w:sz w:val="20"/>
              </w:rPr>
              <w:t>Constant</w:t>
            </w:r>
          </w:p>
        </w:tc>
        <w:tc>
          <w:tcPr>
            <w:tcW w:w="1620" w:type="dxa"/>
            <w:gridSpan w:val="2"/>
            <w:shd w:val="clear" w:color="auto" w:fill="auto"/>
            <w:noWrap/>
            <w:vAlign w:val="bottom"/>
            <w:hideMark/>
          </w:tcPr>
          <w:p w14:paraId="78D22752" w14:textId="77777777" w:rsidR="009F3093" w:rsidRPr="00DB7E02" w:rsidRDefault="009F3093" w:rsidP="00F95F4C">
            <w:pPr>
              <w:keepNext/>
              <w:widowControl w:val="0"/>
              <w:jc w:val="center"/>
              <w:rPr>
                <w:color w:val="000000"/>
                <w:sz w:val="20"/>
              </w:rPr>
            </w:pPr>
            <w:r>
              <w:rPr>
                <w:color w:val="000000"/>
                <w:sz w:val="20"/>
              </w:rPr>
              <w:t>-2.598</w:t>
            </w:r>
          </w:p>
        </w:tc>
        <w:tc>
          <w:tcPr>
            <w:tcW w:w="1620" w:type="dxa"/>
            <w:shd w:val="clear" w:color="auto" w:fill="auto"/>
            <w:noWrap/>
            <w:vAlign w:val="bottom"/>
            <w:hideMark/>
          </w:tcPr>
          <w:p w14:paraId="313B63C2" w14:textId="77777777" w:rsidR="009F3093" w:rsidRPr="00DB7E02" w:rsidRDefault="009F3093" w:rsidP="00F95F4C">
            <w:pPr>
              <w:keepNext/>
              <w:widowControl w:val="0"/>
              <w:jc w:val="center"/>
              <w:rPr>
                <w:color w:val="000000"/>
                <w:sz w:val="20"/>
              </w:rPr>
            </w:pPr>
            <w:r w:rsidRPr="00DB7E02">
              <w:rPr>
                <w:color w:val="000000"/>
                <w:sz w:val="20"/>
              </w:rPr>
              <w:t>0.00</w:t>
            </w:r>
          </w:p>
        </w:tc>
        <w:tc>
          <w:tcPr>
            <w:tcW w:w="1530" w:type="dxa"/>
            <w:vMerge/>
            <w:shd w:val="clear" w:color="auto" w:fill="auto"/>
            <w:vAlign w:val="center"/>
            <w:hideMark/>
          </w:tcPr>
          <w:p w14:paraId="4E6EE3C4" w14:textId="77777777" w:rsidR="009F3093" w:rsidRPr="00DB7E02" w:rsidRDefault="009F3093" w:rsidP="00F95F4C">
            <w:pPr>
              <w:keepNext/>
              <w:widowControl w:val="0"/>
              <w:jc w:val="center"/>
              <w:rPr>
                <w:color w:val="000000"/>
                <w:sz w:val="20"/>
              </w:rPr>
            </w:pPr>
          </w:p>
        </w:tc>
      </w:tr>
      <w:tr w:rsidR="009F3093" w:rsidRPr="00DB7E02" w14:paraId="3B7BD566" w14:textId="77777777" w:rsidTr="00F95F4C">
        <w:trPr>
          <w:trHeight w:val="144"/>
          <w:jc w:val="center"/>
        </w:trPr>
        <w:tc>
          <w:tcPr>
            <w:tcW w:w="7125" w:type="dxa"/>
            <w:gridSpan w:val="5"/>
            <w:tcBorders>
              <w:top w:val="single" w:sz="4" w:space="0" w:color="auto"/>
              <w:bottom w:val="single" w:sz="4" w:space="0" w:color="auto"/>
            </w:tcBorders>
            <w:shd w:val="clear" w:color="auto" w:fill="auto"/>
            <w:noWrap/>
            <w:vAlign w:val="bottom"/>
          </w:tcPr>
          <w:p w14:paraId="0CCD4FD2" w14:textId="77777777" w:rsidR="009F3093" w:rsidRPr="00DB7E02" w:rsidRDefault="009F3093" w:rsidP="00F95F4C">
            <w:pPr>
              <w:keepNext/>
              <w:widowControl w:val="0"/>
              <w:jc w:val="center"/>
              <w:rPr>
                <w:color w:val="000000"/>
                <w:sz w:val="20"/>
              </w:rPr>
            </w:pPr>
            <w:r w:rsidRPr="00DB7E02">
              <w:rPr>
                <w:b/>
                <w:bCs/>
                <w:color w:val="000000"/>
                <w:sz w:val="20"/>
              </w:rPr>
              <w:t>Data used for all models</w:t>
            </w:r>
          </w:p>
        </w:tc>
      </w:tr>
      <w:tr w:rsidR="009F3093" w:rsidRPr="00DB7E02" w14:paraId="74EA8C14" w14:textId="77777777" w:rsidTr="00F95F4C">
        <w:trPr>
          <w:trHeight w:val="144"/>
          <w:jc w:val="center"/>
        </w:trPr>
        <w:tc>
          <w:tcPr>
            <w:tcW w:w="2445" w:type="dxa"/>
            <w:gridSpan w:val="2"/>
            <w:tcBorders>
              <w:top w:val="single" w:sz="4" w:space="0" w:color="auto"/>
            </w:tcBorders>
            <w:shd w:val="clear" w:color="auto" w:fill="auto"/>
            <w:noWrap/>
            <w:vAlign w:val="bottom"/>
            <w:hideMark/>
          </w:tcPr>
          <w:p w14:paraId="18B6870B" w14:textId="77777777" w:rsidR="009F3093" w:rsidRPr="00DB7E02" w:rsidRDefault="009F3093" w:rsidP="00F95F4C">
            <w:pPr>
              <w:keepNext/>
              <w:widowControl w:val="0"/>
              <w:rPr>
                <w:bCs/>
                <w:color w:val="000000"/>
                <w:sz w:val="20"/>
              </w:rPr>
            </w:pPr>
            <w:r w:rsidRPr="00DB7E02">
              <w:rPr>
                <w:bCs/>
                <w:color w:val="000000"/>
                <w:sz w:val="20"/>
              </w:rPr>
              <w:t>Trips (n)</w:t>
            </w:r>
          </w:p>
        </w:tc>
        <w:tc>
          <w:tcPr>
            <w:tcW w:w="4680" w:type="dxa"/>
            <w:gridSpan w:val="3"/>
            <w:tcBorders>
              <w:top w:val="single" w:sz="4" w:space="0" w:color="auto"/>
            </w:tcBorders>
            <w:shd w:val="clear" w:color="auto" w:fill="auto"/>
            <w:noWrap/>
            <w:vAlign w:val="bottom"/>
            <w:hideMark/>
          </w:tcPr>
          <w:p w14:paraId="2D67746F" w14:textId="77777777" w:rsidR="009F3093" w:rsidRPr="00DB7E02" w:rsidRDefault="009F3093" w:rsidP="00F95F4C">
            <w:pPr>
              <w:keepNext/>
              <w:widowControl w:val="0"/>
              <w:ind w:right="3544"/>
              <w:jc w:val="right"/>
              <w:rPr>
                <w:bCs/>
                <w:color w:val="000000"/>
                <w:sz w:val="20"/>
              </w:rPr>
            </w:pPr>
            <w:r>
              <w:rPr>
                <w:bCs/>
                <w:color w:val="000000"/>
                <w:sz w:val="20"/>
              </w:rPr>
              <w:t>41,316</w:t>
            </w:r>
          </w:p>
        </w:tc>
      </w:tr>
      <w:tr w:rsidR="009F3093" w:rsidRPr="00DB7E02" w14:paraId="72A2F5D1" w14:textId="77777777" w:rsidTr="00F95F4C">
        <w:trPr>
          <w:trHeight w:val="144"/>
          <w:jc w:val="center"/>
        </w:trPr>
        <w:tc>
          <w:tcPr>
            <w:tcW w:w="2445" w:type="dxa"/>
            <w:gridSpan w:val="2"/>
            <w:shd w:val="clear" w:color="auto" w:fill="auto"/>
            <w:noWrap/>
            <w:vAlign w:val="bottom"/>
            <w:hideMark/>
          </w:tcPr>
          <w:p w14:paraId="650CDF96" w14:textId="02DFAD2A" w:rsidR="009F3093" w:rsidRPr="00DB7E02" w:rsidRDefault="009F3093" w:rsidP="00F95F4C">
            <w:pPr>
              <w:keepNext/>
              <w:widowControl w:val="0"/>
              <w:rPr>
                <w:color w:val="000000"/>
                <w:sz w:val="20"/>
              </w:rPr>
            </w:pPr>
            <w:r w:rsidRPr="00DB7E02">
              <w:rPr>
                <w:color w:val="000000"/>
                <w:sz w:val="20"/>
              </w:rPr>
              <w:t>Walk</w:t>
            </w:r>
            <w:r w:rsidR="00204F29">
              <w:rPr>
                <w:color w:val="000000"/>
                <w:sz w:val="20"/>
              </w:rPr>
              <w:t xml:space="preserve"> trips</w:t>
            </w:r>
          </w:p>
        </w:tc>
        <w:tc>
          <w:tcPr>
            <w:tcW w:w="4680" w:type="dxa"/>
            <w:gridSpan w:val="3"/>
            <w:shd w:val="clear" w:color="auto" w:fill="auto"/>
            <w:noWrap/>
            <w:vAlign w:val="bottom"/>
            <w:hideMark/>
          </w:tcPr>
          <w:p w14:paraId="39EA754E" w14:textId="77777777" w:rsidR="009F3093" w:rsidRPr="00DB7E02" w:rsidRDefault="009F3093" w:rsidP="00F95F4C">
            <w:pPr>
              <w:keepNext/>
              <w:widowControl w:val="0"/>
              <w:ind w:right="3544"/>
              <w:jc w:val="right"/>
              <w:rPr>
                <w:color w:val="000000"/>
                <w:sz w:val="20"/>
              </w:rPr>
            </w:pPr>
            <w:r>
              <w:rPr>
                <w:color w:val="000000"/>
                <w:sz w:val="20"/>
              </w:rPr>
              <w:t>3,946</w:t>
            </w:r>
          </w:p>
        </w:tc>
      </w:tr>
      <w:tr w:rsidR="009F3093" w:rsidRPr="00DB7E02" w14:paraId="1A3C31A4" w14:textId="77777777" w:rsidTr="00F95F4C">
        <w:trPr>
          <w:trHeight w:val="144"/>
          <w:jc w:val="center"/>
        </w:trPr>
        <w:tc>
          <w:tcPr>
            <w:tcW w:w="2445" w:type="dxa"/>
            <w:gridSpan w:val="2"/>
            <w:tcBorders>
              <w:bottom w:val="single" w:sz="4" w:space="0" w:color="auto"/>
            </w:tcBorders>
            <w:shd w:val="clear" w:color="auto" w:fill="auto"/>
            <w:noWrap/>
            <w:vAlign w:val="bottom"/>
            <w:hideMark/>
          </w:tcPr>
          <w:p w14:paraId="70BD53E0" w14:textId="5D9525A4" w:rsidR="009F3093" w:rsidRPr="00DB7E02" w:rsidRDefault="009F3093" w:rsidP="00F95F4C">
            <w:pPr>
              <w:rPr>
                <w:color w:val="000000"/>
                <w:sz w:val="20"/>
              </w:rPr>
            </w:pPr>
            <w:r w:rsidRPr="00DB7E02">
              <w:rPr>
                <w:color w:val="000000"/>
                <w:sz w:val="20"/>
              </w:rPr>
              <w:t xml:space="preserve">Not </w:t>
            </w:r>
            <w:r w:rsidR="00204F29">
              <w:rPr>
                <w:color w:val="000000"/>
                <w:sz w:val="20"/>
              </w:rPr>
              <w:t>w</w:t>
            </w:r>
            <w:r w:rsidRPr="00DB7E02">
              <w:rPr>
                <w:color w:val="000000"/>
                <w:sz w:val="20"/>
              </w:rPr>
              <w:t>alk</w:t>
            </w:r>
            <w:r w:rsidR="00204F29">
              <w:rPr>
                <w:color w:val="000000"/>
                <w:sz w:val="20"/>
              </w:rPr>
              <w:t xml:space="preserve"> trips</w:t>
            </w:r>
          </w:p>
        </w:tc>
        <w:tc>
          <w:tcPr>
            <w:tcW w:w="4680" w:type="dxa"/>
            <w:gridSpan w:val="3"/>
            <w:tcBorders>
              <w:bottom w:val="single" w:sz="4" w:space="0" w:color="auto"/>
            </w:tcBorders>
            <w:shd w:val="clear" w:color="auto" w:fill="auto"/>
            <w:noWrap/>
            <w:vAlign w:val="bottom"/>
            <w:hideMark/>
          </w:tcPr>
          <w:p w14:paraId="2A47A972" w14:textId="1226D884" w:rsidR="009F3093" w:rsidRPr="00DB7E02" w:rsidRDefault="009F3093" w:rsidP="00F95F4C">
            <w:pPr>
              <w:ind w:right="3544"/>
              <w:jc w:val="right"/>
              <w:rPr>
                <w:color w:val="000000"/>
                <w:sz w:val="20"/>
              </w:rPr>
            </w:pPr>
            <w:r>
              <w:rPr>
                <w:color w:val="000000"/>
                <w:sz w:val="20"/>
              </w:rPr>
              <w:t>37,370</w:t>
            </w:r>
          </w:p>
        </w:tc>
      </w:tr>
    </w:tbl>
    <w:p w14:paraId="12490F09" w14:textId="77777777" w:rsidR="009F3093" w:rsidRDefault="009F3093" w:rsidP="009F3093"/>
    <w:p w14:paraId="224ADDFB" w14:textId="5DE7F4DE" w:rsidR="00204F29" w:rsidRDefault="00204F29" w:rsidP="009F3093">
      <w:r>
        <w:t>Using the coefficients for each of these built environments as weights, we computed PIE</w:t>
      </w:r>
      <w:r w:rsidRPr="00204F29">
        <w:rPr>
          <w:vertAlign w:val="subscript"/>
        </w:rPr>
        <w:t>bg</w:t>
      </w:r>
      <w:r>
        <w:t xml:space="preserve"> for each block group in the Los Angeles region by using the following formula:</w:t>
      </w:r>
    </w:p>
    <w:p w14:paraId="08F8BD2D" w14:textId="77777777" w:rsidR="00204F29" w:rsidRDefault="00204F29" w:rsidP="009F3093"/>
    <w:p w14:paraId="0B62E3FE" w14:textId="70B4511B" w:rsidR="001242F5" w:rsidRPr="001621A8" w:rsidRDefault="00983295" w:rsidP="009F3093">
      <w:pPr>
        <w:rPr>
          <w:sz w:val="22"/>
          <w:szCs w:val="22"/>
        </w:rPr>
      </w:pPr>
      <m:oMathPara>
        <m:oMath>
          <m:sSub>
            <m:sSubPr>
              <m:ctrlPr>
                <w:rPr>
                  <w:rFonts w:ascii="Cambria Math" w:hAnsi="Cambria Math"/>
                  <w:i/>
                  <w:sz w:val="22"/>
                  <w:szCs w:val="22"/>
                </w:rPr>
              </m:ctrlPr>
            </m:sSubPr>
            <m:e>
              <m:r>
                <w:rPr>
                  <w:rFonts w:ascii="Cambria Math" w:hAnsi="Cambria Math"/>
                  <w:sz w:val="22"/>
                  <w:szCs w:val="22"/>
                </w:rPr>
                <m:t>PIE</m:t>
              </m:r>
            </m:e>
            <m:sub>
              <m:r>
                <w:rPr>
                  <w:rFonts w:ascii="Cambria Math" w:hAnsi="Cambria Math"/>
                  <w:sz w:val="22"/>
                  <w:szCs w:val="22"/>
                </w:rPr>
                <m:t>bg</m:t>
              </m:r>
            </m:sub>
          </m:sSub>
          <m:r>
            <w:rPr>
              <w:rFonts w:ascii="Cambria Math" w:hAnsi="Cambria Math"/>
              <w:sz w:val="22"/>
              <w:szCs w:val="22"/>
            </w:rPr>
            <m:t>=0.007*people per acre+0.039*ULI+</m:t>
          </m:r>
        </m:oMath>
      </m:oMathPara>
    </w:p>
    <w:p w14:paraId="0359BF0A" w14:textId="6FFE572A" w:rsidR="00204F29" w:rsidRPr="00204F29" w:rsidRDefault="00181234" w:rsidP="009F3093">
      <w:pPr>
        <w:rPr>
          <w:sz w:val="22"/>
          <w:szCs w:val="22"/>
        </w:rPr>
      </w:pPr>
      <m:oMathPara>
        <m:oMath>
          <m:r>
            <w:rPr>
              <w:rFonts w:ascii="Cambria Math" w:hAnsi="Cambria Math"/>
              <w:sz w:val="22"/>
              <w:szCs w:val="22"/>
            </w:rPr>
            <m:t>0.052*road network density+0.001*transit accessibility</m:t>
          </m:r>
        </m:oMath>
      </m:oMathPara>
    </w:p>
    <w:p w14:paraId="19E76123" w14:textId="77777777" w:rsidR="00204F29" w:rsidRDefault="00204F29" w:rsidP="009F3093"/>
    <w:p w14:paraId="1C85080C" w14:textId="36E253DB" w:rsidR="009D3B7B" w:rsidRPr="00D46DA7" w:rsidRDefault="00431B57" w:rsidP="005A4DF4">
      <w:r>
        <w:fldChar w:fldCharType="begin"/>
      </w:r>
      <w:r>
        <w:instrText xml:space="preserve"> REF _Ref512001404 \h </w:instrText>
      </w:r>
      <w:r>
        <w:fldChar w:fldCharType="separate"/>
      </w:r>
      <w:r>
        <w:t xml:space="preserve">Figure </w:t>
      </w:r>
      <w:r>
        <w:rPr>
          <w:noProof/>
        </w:rPr>
        <w:t>11</w:t>
      </w:r>
      <w:r>
        <w:fldChar w:fldCharType="end"/>
      </w:r>
      <w:r>
        <w:t xml:space="preserve"> shows both the distribution in the city of unscaled PIE</w:t>
      </w:r>
      <w:r>
        <w:rPr>
          <w:vertAlign w:val="subscript"/>
        </w:rPr>
        <w:t>bg</w:t>
      </w:r>
      <w:r>
        <w:t xml:space="preserve">. Both areas have a clear central area that it is more walkable. In both </w:t>
      </w:r>
      <w:r w:rsidRPr="00FA1EDF">
        <w:rPr>
          <w:noProof/>
        </w:rPr>
        <w:t>cases</w:t>
      </w:r>
      <w:r w:rsidR="00C226F2">
        <w:rPr>
          <w:noProof/>
        </w:rPr>
        <w:t>,</w:t>
      </w:r>
      <w:r>
        <w:t xml:space="preserve"> this area is small compared to the region.  </w:t>
      </w:r>
      <w:r w:rsidR="005A4DF4">
        <w:t>Even though the urban structure of Los Angeles seems very different from that of Portland, it seems from a visual inspection of the map that the PIE</w:t>
      </w:r>
      <w:r w:rsidR="005A4DF4">
        <w:rPr>
          <w:vertAlign w:val="subscript"/>
        </w:rPr>
        <w:t>bg</w:t>
      </w:r>
      <w:r w:rsidR="005A4DF4">
        <w:t xml:space="preserve"> specification of Portland applied to Los Angeles make some intuitive sense.</w:t>
      </w:r>
      <w:r w:rsidR="00D46DA7">
        <w:t xml:space="preserve"> However, as seen in </w:t>
      </w:r>
      <w:r w:rsidR="00D46DA7">
        <w:fldChar w:fldCharType="begin"/>
      </w:r>
      <w:r w:rsidR="00D46DA7">
        <w:instrText xml:space="preserve"> REF _Ref522024220 \h </w:instrText>
      </w:r>
      <w:r w:rsidR="00D46DA7">
        <w:fldChar w:fldCharType="end"/>
      </w:r>
      <w:r w:rsidR="00D46DA7">
        <w:fldChar w:fldCharType="begin"/>
      </w:r>
      <w:r w:rsidR="00D46DA7">
        <w:instrText xml:space="preserve"> REF _Ref522024223 \h </w:instrText>
      </w:r>
      <w:r w:rsidR="00D46DA7">
        <w:fldChar w:fldCharType="separate"/>
      </w:r>
      <w:r w:rsidR="00D46DA7">
        <w:t xml:space="preserve">Table </w:t>
      </w:r>
      <w:r w:rsidR="00D46DA7">
        <w:rPr>
          <w:noProof/>
        </w:rPr>
        <w:t>5</w:t>
      </w:r>
      <w:r w:rsidR="00D46DA7">
        <w:fldChar w:fldCharType="end"/>
      </w:r>
      <w:r w:rsidR="00D46DA7">
        <w:t xml:space="preserve"> many of the built environment attributes are much larger in Los Angeles than Portland. For example, the mean population density in each block group in Los Angeles is 20 people per acre, while in Portland is only 8. This means that the model estimation in Portland can omit and effect of what larger values of the built environment attributes may cause, causing that the PIE</w:t>
      </w:r>
      <w:r w:rsidR="00D46DA7">
        <w:rPr>
          <w:vertAlign w:val="subscript"/>
        </w:rPr>
        <w:t>bg</w:t>
      </w:r>
      <w:r w:rsidR="00D46DA7">
        <w:t xml:space="preserve"> scores in Los Angeles only reach higher values in very few places. Additionally, as shown also in </w:t>
      </w:r>
      <w:r w:rsidR="00D46DA7">
        <w:fldChar w:fldCharType="begin"/>
      </w:r>
      <w:r w:rsidR="00D46DA7">
        <w:instrText xml:space="preserve"> REF _Ref522024223 \h </w:instrText>
      </w:r>
      <w:r w:rsidR="00D46DA7">
        <w:fldChar w:fldCharType="separate"/>
      </w:r>
      <w:r w:rsidR="00D46DA7">
        <w:t xml:space="preserve">Table </w:t>
      </w:r>
      <w:r w:rsidR="00D46DA7">
        <w:rPr>
          <w:noProof/>
        </w:rPr>
        <w:t>5</w:t>
      </w:r>
      <w:r w:rsidR="00D46DA7">
        <w:fldChar w:fldCharType="end"/>
      </w:r>
      <w:r w:rsidR="00D46DA7">
        <w:t xml:space="preserve"> is that Los Angeles have a lower average transit service than Portland and also as </w:t>
      </w:r>
      <w:r w:rsidR="00D46DA7">
        <w:fldChar w:fldCharType="begin"/>
      </w:r>
      <w:r w:rsidR="00D46DA7">
        <w:instrText xml:space="preserve"> REF _Ref511988862 \h </w:instrText>
      </w:r>
      <w:r w:rsidR="00D46DA7">
        <w:fldChar w:fldCharType="separate"/>
      </w:r>
      <w:r w:rsidR="00D46DA7">
        <w:t xml:space="preserve">Figure </w:t>
      </w:r>
      <w:r w:rsidR="00D46DA7">
        <w:rPr>
          <w:noProof/>
        </w:rPr>
        <w:t>10</w:t>
      </w:r>
      <w:r w:rsidR="00D46DA7">
        <w:fldChar w:fldCharType="end"/>
      </w:r>
      <w:r w:rsidR="00D46DA7">
        <w:t xml:space="preserve"> shows the coefficient for transit is smallest in Los Angeles than in the other cities, for that </w:t>
      </w:r>
      <w:r w:rsidR="00D46DA7" w:rsidRPr="00C226F2">
        <w:rPr>
          <w:noProof/>
        </w:rPr>
        <w:t>reason</w:t>
      </w:r>
      <w:r w:rsidR="00C226F2">
        <w:rPr>
          <w:noProof/>
        </w:rPr>
        <w:t>,</w:t>
      </w:r>
      <w:r w:rsidR="00D46DA7">
        <w:t xml:space="preserve"> the effect of transit might also be creating some noise in the scores. </w:t>
      </w:r>
    </w:p>
    <w:p w14:paraId="29A92E49" w14:textId="77777777" w:rsidR="009D3B7B" w:rsidRDefault="009D3B7B" w:rsidP="005A4DF4">
      <w:pPr>
        <w:rPr>
          <w:highlight w:val="cyan"/>
        </w:rPr>
      </w:pPr>
    </w:p>
    <w:p w14:paraId="0507EB32" w14:textId="77777777" w:rsidR="009F3093" w:rsidRPr="00C5526D" w:rsidRDefault="009F3093" w:rsidP="009F3093">
      <w:pPr>
        <w:rPr>
          <w:strike/>
        </w:rPr>
      </w:pPr>
    </w:p>
    <w:p w14:paraId="334E6FF2" w14:textId="01D9DB13" w:rsidR="00431B57" w:rsidRDefault="00431B57">
      <w:pPr>
        <w:jc w:val="center"/>
      </w:pPr>
    </w:p>
    <w:p w14:paraId="7BCEAECE" w14:textId="53B10D77" w:rsidR="00431B57" w:rsidRDefault="00431B57" w:rsidP="009F3093">
      <w:pPr>
        <w:jc w:val="center"/>
      </w:pPr>
      <w:r>
        <w:rPr>
          <w:noProof/>
        </w:rPr>
        <w:lastRenderedPageBreak/>
        <w:drawing>
          <wp:inline distT="0" distB="0" distL="0" distR="0" wp14:anchorId="7455C20A" wp14:editId="5105593B">
            <wp:extent cx="4984750" cy="3853322"/>
            <wp:effectExtent l="0" t="0" r="0" b="6350"/>
            <wp:docPr id="6" name="Picture 6" descr="C:\Users\Jaime9\AppData\Local\Microsoft\Windows\INetCache\Content.Word\MapsLA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Jaime9\AppData\Local\Microsoft\Windows\INetCache\Content.Word\MapsLAPI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9583" cy="3973011"/>
                    </a:xfrm>
                    <a:prstGeom prst="rect">
                      <a:avLst/>
                    </a:prstGeom>
                    <a:noFill/>
                    <a:ln>
                      <a:noFill/>
                    </a:ln>
                  </pic:spPr>
                </pic:pic>
              </a:graphicData>
            </a:graphic>
          </wp:inline>
        </w:drawing>
      </w:r>
      <w:r w:rsidR="00983295">
        <w:pict w14:anchorId="70B55B82">
          <v:shape id="_x0000_i1031" type="#_x0000_t75" style="width:400.9pt;height:310.15pt">
            <v:imagedata r:id="rId24" o:title="MapspdxPIE"/>
          </v:shape>
        </w:pict>
      </w:r>
    </w:p>
    <w:p w14:paraId="059F82D8" w14:textId="48A1AFCE" w:rsidR="009F3093" w:rsidRDefault="009F3093" w:rsidP="00FA1EDF">
      <w:pPr>
        <w:jc w:val="center"/>
        <w:rPr>
          <w:noProof/>
        </w:rPr>
      </w:pPr>
      <w:bookmarkStart w:id="57" w:name="_Ref512001404"/>
      <w:bookmarkStart w:id="58" w:name="_Toc2003588"/>
      <w:r>
        <w:t xml:space="preserve">Figure </w:t>
      </w:r>
      <w:fldSimple w:instr=" SEQ Figure \* ARABIC ">
        <w:r w:rsidR="00721680">
          <w:rPr>
            <w:noProof/>
          </w:rPr>
          <w:t>11</w:t>
        </w:r>
      </w:fldSimple>
      <w:bookmarkEnd w:id="57"/>
      <w:r>
        <w:t xml:space="preserve"> </w:t>
      </w:r>
      <w:r w:rsidR="00431B57">
        <w:t xml:space="preserve">Unscaled </w:t>
      </w:r>
      <w:r>
        <w:t>PIE</w:t>
      </w:r>
      <w:r w:rsidRPr="00B45B31">
        <w:rPr>
          <w:vertAlign w:val="subscript"/>
        </w:rPr>
        <w:t>bg</w:t>
      </w:r>
      <w:r>
        <w:t xml:space="preserve"> distribution in Los Angeles</w:t>
      </w:r>
      <w:r w:rsidR="00431B57">
        <w:t xml:space="preserve"> and Portland</w:t>
      </w:r>
      <w:bookmarkEnd w:id="58"/>
    </w:p>
    <w:p w14:paraId="5E76A325" w14:textId="2C5A1916" w:rsidR="00673F6A" w:rsidRDefault="00673F6A" w:rsidP="0051052B">
      <w:pPr>
        <w:jc w:val="center"/>
      </w:pPr>
    </w:p>
    <w:p w14:paraId="6D379F2D" w14:textId="365F6158" w:rsidR="00320FDE" w:rsidRDefault="00320FDE" w:rsidP="00D1654A">
      <w:pPr>
        <w:pStyle w:val="Heading1"/>
      </w:pPr>
      <w:bookmarkStart w:id="59" w:name="_Toc507351468"/>
      <w:bookmarkStart w:id="60" w:name="_Toc2003605"/>
      <w:r>
        <w:lastRenderedPageBreak/>
        <w:t>Discussion</w:t>
      </w:r>
      <w:bookmarkEnd w:id="59"/>
      <w:r w:rsidR="00086953">
        <w:t xml:space="preserve"> and conclusions</w:t>
      </w:r>
      <w:bookmarkEnd w:id="60"/>
    </w:p>
    <w:p w14:paraId="309F39EE" w14:textId="67351D40" w:rsidR="0011199E" w:rsidRPr="006F228A" w:rsidRDefault="0091517B" w:rsidP="0011199E">
      <w:pPr>
        <w:pStyle w:val="BodyText"/>
      </w:pPr>
      <w:r>
        <w:t>T</w:t>
      </w:r>
      <w:r w:rsidRPr="0091517B">
        <w:t>he analysis of aggregate and disaggregate pedestrian trips presented here examined the potential transferability of relationships between walking and the built environment within and across different regions.</w:t>
      </w:r>
      <w:r>
        <w:t xml:space="preserve"> </w:t>
      </w:r>
      <w:r w:rsidR="0011199E" w:rsidRPr="006F228A">
        <w:t>To summarize</w:t>
      </w:r>
      <w:r w:rsidR="00E71BF8">
        <w:t xml:space="preserve"> some of these findings</w:t>
      </w:r>
      <w:r w:rsidR="0011199E" w:rsidRPr="006F228A">
        <w:t xml:space="preserve">: </w:t>
      </w:r>
    </w:p>
    <w:p w14:paraId="677E3853" w14:textId="77777777" w:rsidR="0011199E" w:rsidRPr="006F228A" w:rsidRDefault="0011199E" w:rsidP="0011199E">
      <w:pPr>
        <w:pStyle w:val="BodyText"/>
        <w:numPr>
          <w:ilvl w:val="0"/>
          <w:numId w:val="41"/>
        </w:numPr>
      </w:pPr>
      <w:r w:rsidRPr="006F228A">
        <w:t>The probability of walking has a clear relationship with PIE</w:t>
      </w:r>
      <w:r w:rsidRPr="006F228A">
        <w:rPr>
          <w:vertAlign w:val="subscript"/>
        </w:rPr>
        <w:t>bg</w:t>
      </w:r>
    </w:p>
    <w:p w14:paraId="7043B253" w14:textId="40A77CC7" w:rsidR="0011199E" w:rsidRPr="006F228A" w:rsidRDefault="0011199E" w:rsidP="0011199E">
      <w:pPr>
        <w:pStyle w:val="BodyText"/>
        <w:numPr>
          <w:ilvl w:val="0"/>
          <w:numId w:val="41"/>
        </w:numPr>
      </w:pPr>
      <w:r w:rsidRPr="006F228A">
        <w:t>An examination of PIE</w:t>
      </w:r>
      <w:r w:rsidRPr="006F228A">
        <w:rPr>
          <w:vertAlign w:val="subscript"/>
        </w:rPr>
        <w:t>bg</w:t>
      </w:r>
      <w:r w:rsidRPr="006F228A">
        <w:t xml:space="preserve"> and walk mode share suggests that the</w:t>
      </w:r>
      <w:r w:rsidR="00E71BF8">
        <w:t>re</w:t>
      </w:r>
      <w:r w:rsidRPr="006F228A">
        <w:t xml:space="preserve"> may </w:t>
      </w:r>
      <w:r w:rsidR="00E71BF8">
        <w:t xml:space="preserve">be </w:t>
      </w:r>
      <w:r w:rsidRPr="006F228A">
        <w:t>different relationship</w:t>
      </w:r>
      <w:r w:rsidR="00E71BF8">
        <w:t xml:space="preserve">s between walking behaviors and the built environment across the spectrum of environments within a region. </w:t>
      </w:r>
      <w:r w:rsidR="008748E9">
        <w:t xml:space="preserve">Our intraregional tests for transferability of models and measures revealed </w:t>
      </w:r>
      <w:r w:rsidR="00DD12DF">
        <w:t>two regimes</w:t>
      </w:r>
      <w:r w:rsidR="008748E9">
        <w:t xml:space="preserve"> where these relationships may differ</w:t>
      </w:r>
      <w:r w:rsidR="00DD12DF">
        <w:t xml:space="preserve">: </w:t>
      </w:r>
      <w:r w:rsidRPr="006F228A">
        <w:t xml:space="preserve">urban versus suburban contexts. </w:t>
      </w:r>
      <w:r w:rsidR="00282A54" w:rsidRPr="006F228A">
        <w:t xml:space="preserve">However, </w:t>
      </w:r>
      <w:r w:rsidR="008748E9">
        <w:t xml:space="preserve">more research is needed to </w:t>
      </w:r>
      <w:r w:rsidR="00282A54" w:rsidRPr="006F228A">
        <w:t xml:space="preserve">better </w:t>
      </w:r>
      <w:r w:rsidR="008748E9">
        <w:t>understand these variations within a region and the conditions defining these regimes</w:t>
      </w:r>
      <w:r w:rsidR="00282A54" w:rsidRPr="006F228A">
        <w:t xml:space="preserve">. </w:t>
      </w:r>
    </w:p>
    <w:p w14:paraId="701D02C0" w14:textId="77777777" w:rsidR="0011199E" w:rsidRPr="006F228A" w:rsidRDefault="0011199E" w:rsidP="0011199E">
      <w:pPr>
        <w:pStyle w:val="BodyText"/>
        <w:numPr>
          <w:ilvl w:val="0"/>
          <w:numId w:val="41"/>
        </w:numPr>
      </w:pPr>
      <w:r w:rsidRPr="006F228A">
        <w:t>Population density has the strongest and most consistent relationship with walk mode share across the six US metropolitan regions tested in our study.</w:t>
      </w:r>
    </w:p>
    <w:p w14:paraId="23FF6F78" w14:textId="746AA9BE" w:rsidR="0011199E" w:rsidRDefault="00DD12DF" w:rsidP="0011199E">
      <w:pPr>
        <w:pStyle w:val="BodyText"/>
        <w:numPr>
          <w:ilvl w:val="0"/>
          <w:numId w:val="41"/>
        </w:numPr>
      </w:pPr>
      <w:r>
        <w:t xml:space="preserve">Interregional tests of transferability of </w:t>
      </w:r>
      <w:r w:rsidR="0011199E" w:rsidRPr="006F228A">
        <w:t>PIE</w:t>
      </w:r>
      <w:r w:rsidR="0011199E" w:rsidRPr="006F228A">
        <w:rPr>
          <w:vertAlign w:val="subscript"/>
        </w:rPr>
        <w:t>bg</w:t>
      </w:r>
      <w:r w:rsidR="0011199E" w:rsidRPr="006F228A">
        <w:t xml:space="preserve"> </w:t>
      </w:r>
      <w:r>
        <w:t xml:space="preserve">revealed </w:t>
      </w:r>
      <w:r w:rsidR="0011199E" w:rsidRPr="006F228A">
        <w:t xml:space="preserve">similar </w:t>
      </w:r>
      <w:r>
        <w:t>walk mode share results</w:t>
      </w:r>
      <w:r w:rsidR="0011199E" w:rsidRPr="006F228A">
        <w:t xml:space="preserve"> in Los Angeles and Portland. This provides initial support that the PIE</w:t>
      </w:r>
      <w:r w:rsidR="0011199E" w:rsidRPr="006F228A">
        <w:rPr>
          <w:vertAlign w:val="subscript"/>
        </w:rPr>
        <w:t>bg</w:t>
      </w:r>
      <w:r w:rsidR="0011199E" w:rsidRPr="006F228A">
        <w:t xml:space="preserve"> construct may be transferrable between metropolitan regions. </w:t>
      </w:r>
    </w:p>
    <w:p w14:paraId="3AFEDADB" w14:textId="7EA0048A" w:rsidR="008748E9" w:rsidRPr="006F228A" w:rsidRDefault="008748E9" w:rsidP="008748E9">
      <w:pPr>
        <w:pStyle w:val="BodyText"/>
      </w:pPr>
      <w:r>
        <w:t xml:space="preserve">More detailed discussion of these conclusions is below. </w:t>
      </w:r>
    </w:p>
    <w:p w14:paraId="28B922A4" w14:textId="24B83E97" w:rsidR="00304B67" w:rsidRDefault="00304B67" w:rsidP="004E5F85">
      <w:pPr>
        <w:pStyle w:val="Heading2"/>
      </w:pPr>
      <w:bookmarkStart w:id="61" w:name="_Toc2003606"/>
      <w:r>
        <w:t>Transferability of models and measures</w:t>
      </w:r>
      <w:bookmarkEnd w:id="61"/>
    </w:p>
    <w:p w14:paraId="20EC8D65" w14:textId="46C77CAA" w:rsidR="00411F0D" w:rsidRDefault="008E54D3" w:rsidP="00304B67">
      <w:pPr>
        <w:pStyle w:val="BodyText"/>
      </w:pPr>
      <w:r>
        <w:t xml:space="preserve">The findings were mixed in terms of the degree to which PIE could be applicable to areas beyond its estimation region. </w:t>
      </w:r>
      <w:r w:rsidR="004A6E8A">
        <w:t>In</w:t>
      </w:r>
      <w:r w:rsidR="00CE6B27">
        <w:t xml:space="preserve"> our examination of in</w:t>
      </w:r>
      <w:r w:rsidR="004A6E8A">
        <w:t>traregional transferability</w:t>
      </w:r>
      <w:r w:rsidR="00F92B62">
        <w:t xml:space="preserve">, there appeared to be different relationships between walking and the built environment in different parts of the region, divided simply into lower density (suburban) and higher density (urban) areas. </w:t>
      </w:r>
      <w:r w:rsidR="004E5F85">
        <w:t>This suggests that perhaps different constructs may be needed to represent different walk</w:t>
      </w:r>
      <w:r w:rsidR="00812C4F">
        <w:t xml:space="preserve">ing </w:t>
      </w:r>
      <w:r w:rsidR="004E5F85">
        <w:t xml:space="preserve">regimes within a region. </w:t>
      </w:r>
      <w:r w:rsidR="00411F0D">
        <w:t>Yet, t</w:t>
      </w:r>
      <w:r w:rsidR="0091517B" w:rsidRPr="0091517B">
        <w:t xml:space="preserve">he </w:t>
      </w:r>
      <w:r w:rsidR="0091517B">
        <w:t>characteristics</w:t>
      </w:r>
      <w:r w:rsidR="00411F0D">
        <w:t xml:space="preserve"> (thresholds)</w:t>
      </w:r>
      <w:r w:rsidR="0091517B">
        <w:t xml:space="preserve"> </w:t>
      </w:r>
      <w:r w:rsidR="00411F0D">
        <w:t>defining each walk</w:t>
      </w:r>
      <w:r w:rsidR="00812C4F">
        <w:t xml:space="preserve">ing </w:t>
      </w:r>
      <w:r w:rsidR="00411F0D">
        <w:t>regime</w:t>
      </w:r>
      <w:r w:rsidR="0091517B" w:rsidRPr="0091517B">
        <w:t xml:space="preserve"> </w:t>
      </w:r>
      <w:r w:rsidR="00411F0D">
        <w:t>are</w:t>
      </w:r>
      <w:r w:rsidR="0091517B" w:rsidRPr="0091517B">
        <w:t xml:space="preserve"> not the same in Portland </w:t>
      </w:r>
      <w:r w:rsidR="00411F0D">
        <w:t xml:space="preserve">and </w:t>
      </w:r>
      <w:r w:rsidR="0091517B" w:rsidRPr="0091517B">
        <w:t>Los Angeles</w:t>
      </w:r>
      <w:r w:rsidR="00411F0D">
        <w:t>.</w:t>
      </w:r>
      <w:r w:rsidR="0091517B" w:rsidRPr="0091517B">
        <w:t xml:space="preserve"> </w:t>
      </w:r>
      <w:r w:rsidR="00411F0D">
        <w:t>Further</w:t>
      </w:r>
      <w:r w:rsidR="00411F0D" w:rsidRPr="0091517B">
        <w:t xml:space="preserve">, our findings </w:t>
      </w:r>
      <w:r w:rsidR="00411F0D">
        <w:t xml:space="preserve">also suggest that the </w:t>
      </w:r>
      <w:r w:rsidR="00411F0D" w:rsidRPr="0091517B">
        <w:t>relationship between PIE</w:t>
      </w:r>
      <w:r w:rsidR="00411F0D" w:rsidRPr="00411F0D">
        <w:rPr>
          <w:vertAlign w:val="subscript"/>
        </w:rPr>
        <w:t>bg</w:t>
      </w:r>
      <w:r w:rsidR="00411F0D" w:rsidRPr="0091517B">
        <w:t xml:space="preserve"> and walk mode shares </w:t>
      </w:r>
      <w:r w:rsidR="00411F0D">
        <w:t xml:space="preserve">may not be </w:t>
      </w:r>
      <w:r w:rsidR="00411F0D" w:rsidRPr="0091517B">
        <w:t xml:space="preserve">linear. </w:t>
      </w:r>
      <w:r w:rsidR="0091517B" w:rsidRPr="0091517B">
        <w:t xml:space="preserve">This notion suggests the existence of different regimes of response from people to the built environment that should be better represented by our predictions tools.   </w:t>
      </w:r>
    </w:p>
    <w:p w14:paraId="53807D81" w14:textId="6A6945D7" w:rsidR="00F92B62" w:rsidRDefault="00411F0D" w:rsidP="00304B67">
      <w:pPr>
        <w:pStyle w:val="BodyText"/>
      </w:pPr>
      <w:r>
        <w:t xml:space="preserve">One reason </w:t>
      </w:r>
      <w:r w:rsidR="00F92B62">
        <w:t>t</w:t>
      </w:r>
      <w:r>
        <w:t xml:space="preserve">hat </w:t>
      </w:r>
      <w:r w:rsidR="00F92B62">
        <w:t xml:space="preserve">defining these </w:t>
      </w:r>
      <w:r>
        <w:t xml:space="preserve">regimes and the functional form of the relationship between walking and the built environment was </w:t>
      </w:r>
      <w:r w:rsidR="00F92B62">
        <w:t xml:space="preserve">difficult </w:t>
      </w:r>
      <w:r>
        <w:t xml:space="preserve">is </w:t>
      </w:r>
      <w:r w:rsidR="00F92B62">
        <w:t xml:space="preserve">because of the relatively smaller sample sizes in the urban areas resulted in noise in the estimates. Thus, larger sample sizes from higher density areas are needed to better understand these relationships. </w:t>
      </w:r>
      <w:r w:rsidR="004E5F85">
        <w:t xml:space="preserve">Further, there are potential correlations with the socio-economic characteristics of travelers and the </w:t>
      </w:r>
      <w:r>
        <w:t xml:space="preserve">characteristics of the </w:t>
      </w:r>
      <w:r w:rsidR="004E5F85">
        <w:t>location</w:t>
      </w:r>
      <w:r>
        <w:t>s</w:t>
      </w:r>
      <w:r w:rsidR="004E5F85">
        <w:t xml:space="preserve"> of travel</w:t>
      </w:r>
      <w:r>
        <w:t>, which</w:t>
      </w:r>
      <w:r w:rsidR="004E5F85">
        <w:t xml:space="preserve"> point to the need to control for this in walkability measures (discussed in the next subsection). </w:t>
      </w:r>
    </w:p>
    <w:p w14:paraId="2E00B99A" w14:textId="3CD9A2A1" w:rsidR="004A6E8A" w:rsidRDefault="00291562" w:rsidP="00304B67">
      <w:pPr>
        <w:pStyle w:val="BodyText"/>
      </w:pPr>
      <w:r>
        <w:lastRenderedPageBreak/>
        <w:t>Based upon our analysis, t</w:t>
      </w:r>
      <w:r w:rsidR="00F92B62">
        <w:t>ravel behavior s</w:t>
      </w:r>
      <w:r w:rsidR="004A6E8A">
        <w:t>urveys</w:t>
      </w:r>
      <w:r w:rsidR="00F92B62">
        <w:t xml:space="preserve"> from </w:t>
      </w:r>
      <w:r>
        <w:t xml:space="preserve">the </w:t>
      </w:r>
      <w:r w:rsidR="00F92B62">
        <w:t>US cities</w:t>
      </w:r>
      <w:r w:rsidR="004A6E8A">
        <w:t xml:space="preserve"> </w:t>
      </w:r>
      <w:r>
        <w:t xml:space="preserve">we studied </w:t>
      </w:r>
      <w:r w:rsidR="00983295">
        <w:t xml:space="preserve">tend to </w:t>
      </w:r>
      <w:r w:rsidR="004A6E8A">
        <w:t>have greater proportion of sample from lower density areas associated with American suburban form</w:t>
      </w:r>
      <w:r w:rsidR="00F92B62">
        <w:t xml:space="preserve"> and smaller </w:t>
      </w:r>
      <w:r w:rsidR="004A6E8A">
        <w:t>sample sizes in areas with higher walkability</w:t>
      </w:r>
      <w:r w:rsidR="000D23EA">
        <w:t xml:space="preserve"> and overall walking activity</w:t>
      </w:r>
      <w:r w:rsidR="00F92B62">
        <w:t>,</w:t>
      </w:r>
      <w:r w:rsidR="00F92B62" w:rsidRPr="00F92B62">
        <w:t xml:space="preserve"> </w:t>
      </w:r>
      <w:r w:rsidR="00F92B62">
        <w:t xml:space="preserve">which represent a smaller proportion of both land mass and population </w:t>
      </w:r>
      <w:r>
        <w:t xml:space="preserve">of those </w:t>
      </w:r>
      <w:r w:rsidR="00F92B62">
        <w:t xml:space="preserve">cities. This </w:t>
      </w:r>
      <w:r w:rsidR="008221DA">
        <w:t>may not be the case in international contexts</w:t>
      </w:r>
      <w:r w:rsidR="00F92B62">
        <w:t xml:space="preserve">, where more of the urbanized regions are </w:t>
      </w:r>
      <w:r w:rsidR="008221DA">
        <w:t xml:space="preserve">of a </w:t>
      </w:r>
      <w:r w:rsidR="00F92B62">
        <w:t>higher density</w:t>
      </w:r>
      <w:r w:rsidR="008221DA">
        <w:t xml:space="preserve"> than the US</w:t>
      </w:r>
      <w:r w:rsidR="00F92B62">
        <w:t>. Creating pooled samples with comparable and consistent data from cities around the world is becoming a more realistic endeavor with standardization of travel surveys and the availability of built environment data. This would be an asset to understanding the relationships between travel behavior and the built environment</w:t>
      </w:r>
      <w:r w:rsidR="0091517B">
        <w:t>,</w:t>
      </w:r>
      <w:r w:rsidR="00F92B62">
        <w:t xml:space="preserve"> broadly</w:t>
      </w:r>
      <w:r w:rsidR="0091517B">
        <w:t>,</w:t>
      </w:r>
      <w:r w:rsidR="00F92B62">
        <w:t xml:space="preserve"> and identifying the various regimes of walk</w:t>
      </w:r>
      <w:r w:rsidR="000D23EA">
        <w:t>ing</w:t>
      </w:r>
      <w:r w:rsidR="0091517B">
        <w:t>,</w:t>
      </w:r>
      <w:r w:rsidR="00F92B62">
        <w:t xml:space="preserve"> specifically. </w:t>
      </w:r>
    </w:p>
    <w:p w14:paraId="19ED7866" w14:textId="6CBB0645" w:rsidR="0094572B" w:rsidRDefault="00721680" w:rsidP="00304B67">
      <w:pPr>
        <w:pStyle w:val="BodyText"/>
      </w:pPr>
      <w:r w:rsidRPr="006F228A">
        <w:t xml:space="preserve">From our analysis, the distribution of </w:t>
      </w:r>
      <w:r>
        <w:t>walkable places and their relative locations across the region</w:t>
      </w:r>
      <w:r w:rsidRPr="006F228A">
        <w:t xml:space="preserve"> appear to be important. </w:t>
      </w:r>
      <w:r>
        <w:t xml:space="preserve">For example, </w:t>
      </w:r>
      <w:r w:rsidRPr="006F228A">
        <w:t xml:space="preserve">Los Angeles </w:t>
      </w:r>
      <w:r>
        <w:t xml:space="preserve">region has more variation </w:t>
      </w:r>
      <w:r w:rsidRPr="006F228A">
        <w:t>in its urban structure</w:t>
      </w:r>
      <w:r>
        <w:t xml:space="preserve"> and is more polycentric than</w:t>
      </w:r>
      <w:r w:rsidRPr="006F228A">
        <w:t xml:space="preserve"> Portland. </w:t>
      </w:r>
      <w:r w:rsidR="00304B67" w:rsidRPr="006F228A">
        <w:t>Th</w:t>
      </w:r>
      <w:r>
        <w:t>is</w:t>
      </w:r>
      <w:r w:rsidR="00304B67" w:rsidRPr="006F228A">
        <w:t xml:space="preserve"> raises the </w:t>
      </w:r>
      <w:r w:rsidR="0094572B">
        <w:t xml:space="preserve">question </w:t>
      </w:r>
      <w:r w:rsidR="00304B67" w:rsidRPr="006F228A">
        <w:t>of the role of the larger urban spatial structure</w:t>
      </w:r>
      <w:r>
        <w:t xml:space="preserve"> in supporting walking activity. By urban structure we mean the number and distribution </w:t>
      </w:r>
      <w:r w:rsidR="00304B67" w:rsidRPr="006F228A">
        <w:t>of centers or sub-centers</w:t>
      </w:r>
      <w:r>
        <w:t xml:space="preserve"> across a region</w:t>
      </w:r>
      <w:r w:rsidR="00304B67" w:rsidRPr="006F228A">
        <w:t xml:space="preserve">, </w:t>
      </w:r>
      <w:r>
        <w:t xml:space="preserve">the </w:t>
      </w:r>
      <w:r w:rsidR="00304B67" w:rsidRPr="006F228A">
        <w:t xml:space="preserve">density gradients, </w:t>
      </w:r>
      <w:r>
        <w:t xml:space="preserve">the clustering or contiguity of walkable places, </w:t>
      </w:r>
      <w:r w:rsidR="00304B67" w:rsidRPr="006F228A">
        <w:t xml:space="preserve">and the spatial extent of the urbanized area (total land area). </w:t>
      </w:r>
      <w:r>
        <w:t xml:space="preserve">These are characteristics that are not captured well in local and regional accessibility measures and perhaps represent a meso-scale description of the built environment. </w:t>
      </w:r>
    </w:p>
    <w:p w14:paraId="6D498C53" w14:textId="77777777" w:rsidR="00721680" w:rsidRDefault="00721680" w:rsidP="00721680">
      <w:pPr>
        <w:pStyle w:val="BodyText"/>
        <w:keepNext/>
        <w:jc w:val="center"/>
      </w:pPr>
      <w:r>
        <w:rPr>
          <w:noProof/>
        </w:rPr>
        <w:drawing>
          <wp:inline distT="0" distB="0" distL="0" distR="0" wp14:anchorId="741006AE" wp14:editId="281C0169">
            <wp:extent cx="5486400" cy="1645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6400" cy="1645920"/>
                    </a:xfrm>
                    <a:prstGeom prst="rect">
                      <a:avLst/>
                    </a:prstGeom>
                    <a:noFill/>
                  </pic:spPr>
                </pic:pic>
              </a:graphicData>
            </a:graphic>
          </wp:inline>
        </w:drawing>
      </w:r>
    </w:p>
    <w:p w14:paraId="5DEC8079" w14:textId="495251DB" w:rsidR="00721680" w:rsidRDefault="00721680" w:rsidP="00721680">
      <w:pPr>
        <w:pStyle w:val="Caption"/>
      </w:pPr>
      <w:bookmarkStart w:id="62" w:name="_Ref522299462"/>
      <w:bookmarkStart w:id="63" w:name="_Toc2003589"/>
      <w:r>
        <w:t xml:space="preserve">Figure </w:t>
      </w:r>
      <w:fldSimple w:instr=" SEQ Figure \* ARABIC ">
        <w:r>
          <w:rPr>
            <w:noProof/>
          </w:rPr>
          <w:t>12</w:t>
        </w:r>
      </w:fldSimple>
      <w:bookmarkEnd w:id="62"/>
      <w:r>
        <w:t xml:space="preserve"> The role of walkability gradients</w:t>
      </w:r>
      <w:bookmarkEnd w:id="63"/>
    </w:p>
    <w:p w14:paraId="14847C8A" w14:textId="4197B109" w:rsidR="00304B67" w:rsidRPr="006F228A" w:rsidRDefault="00AF16B9" w:rsidP="00304B67">
      <w:pPr>
        <w:pStyle w:val="BodyText"/>
      </w:pPr>
      <w:r>
        <w:fldChar w:fldCharType="begin"/>
      </w:r>
      <w:r>
        <w:instrText xml:space="preserve"> REF _Ref522299462 \h </w:instrText>
      </w:r>
      <w:r>
        <w:fldChar w:fldCharType="separate"/>
      </w:r>
      <w:r>
        <w:t xml:space="preserve">Figure </w:t>
      </w:r>
      <w:r>
        <w:rPr>
          <w:noProof/>
        </w:rPr>
        <w:t>12</w:t>
      </w:r>
      <w:r>
        <w:fldChar w:fldCharType="end"/>
      </w:r>
      <w:r>
        <w:t xml:space="preserve"> shows a</w:t>
      </w:r>
      <w:r w:rsidR="00A73CDE">
        <w:t>n example</w:t>
      </w:r>
      <w:r w:rsidR="004F371F">
        <w:t xml:space="preserve"> of</w:t>
      </w:r>
      <w:r w:rsidR="00A73CDE">
        <w:t xml:space="preserve"> walkability across a</w:t>
      </w:r>
      <w:r>
        <w:t xml:space="preserve"> </w:t>
      </w:r>
      <w:r w:rsidR="004F371F">
        <w:t>ficti</w:t>
      </w:r>
      <w:r w:rsidR="00744CA2">
        <w:t>ti</w:t>
      </w:r>
      <w:r w:rsidR="004F371F">
        <w:t xml:space="preserve">ous </w:t>
      </w:r>
      <w:r>
        <w:t>cross section of an urban region</w:t>
      </w:r>
      <w:r w:rsidR="00A73CDE">
        <w:t xml:space="preserve">, from the city center outward. </w:t>
      </w:r>
      <w:r w:rsidR="004F371F">
        <w:t xml:space="preserve">While all areas across the red dashed line have the same objective measure of walkability, there is significant variation in the walkability gradients as well the total space that has that level of walkability or more. One question to investigate is would those locations proximate to the city center, where walkability is relatively high and sustained across the space, have the same walk mode share or absolute levels of walking as those farther from the center with the same objective measure of walkability but different gradients and total area of walkable space. Or put another way, would we expect pockets of walkability to perform similarly as places where walkability is sustained over a larger area? At the moment, our methods of analysis do not consider this and this may be an area of fruitful future work that may help to explain the differences we see between regions. </w:t>
      </w:r>
      <w:r w:rsidR="00304B67" w:rsidRPr="006F228A">
        <w:t xml:space="preserve">  </w:t>
      </w:r>
    </w:p>
    <w:p w14:paraId="6D279747" w14:textId="252C1F4A" w:rsidR="00304B67" w:rsidRPr="00304B67" w:rsidRDefault="00304B67" w:rsidP="004E5F85">
      <w:pPr>
        <w:pStyle w:val="Heading2"/>
      </w:pPr>
      <w:bookmarkStart w:id="64" w:name="_Toc2003607"/>
      <w:r w:rsidRPr="00304B67">
        <w:lastRenderedPageBreak/>
        <w:t>Representing the built environment</w:t>
      </w:r>
      <w:bookmarkEnd w:id="64"/>
    </w:p>
    <w:p w14:paraId="69CE3B55" w14:textId="7E5690C4" w:rsidR="00AB404E" w:rsidRDefault="00D94617" w:rsidP="00AB404E">
      <w:pPr>
        <w:pStyle w:val="BodyText"/>
      </w:pPr>
      <w:r>
        <w:t xml:space="preserve">The ways that we have been construction PIE have limited its transferability and have problematic issues that limit its usefulness. </w:t>
      </w:r>
      <w:r w:rsidR="00A071B8">
        <w:t>This new construct, PIE</w:t>
      </w:r>
      <w:r w:rsidR="00A071B8" w:rsidRPr="006F228A">
        <w:rPr>
          <w:vertAlign w:val="subscript"/>
        </w:rPr>
        <w:t>bg</w:t>
      </w:r>
      <w:r w:rsidR="00A071B8">
        <w:t xml:space="preserve"> has some important differences to our original PIE</w:t>
      </w:r>
      <w:r w:rsidR="00A071B8" w:rsidRPr="00A071B8">
        <w:rPr>
          <w:vertAlign w:val="subscript"/>
        </w:rPr>
        <w:t>0</w:t>
      </w:r>
      <w:r w:rsidR="00A071B8">
        <w:t xml:space="preserve">, in part because of our need to have comparable measure across cities. </w:t>
      </w:r>
      <w:r w:rsidR="00AB404E">
        <w:t>W</w:t>
      </w:r>
      <w:r w:rsidR="00A071B8">
        <w:t>hen PIE</w:t>
      </w:r>
      <w:r w:rsidR="00A071B8" w:rsidRPr="00A071B8">
        <w:rPr>
          <w:vertAlign w:val="subscript"/>
        </w:rPr>
        <w:t>0</w:t>
      </w:r>
      <w:r w:rsidR="00A071B8">
        <w:t xml:space="preserve"> was developed in 2011, the data available in Portland were unique and at a scale not widely available</w:t>
      </w:r>
      <w:r w:rsidR="00AB404E">
        <w:t xml:space="preserve"> (PAZs - 80m x 80m</w:t>
      </w:r>
      <w:r w:rsidR="00AC17A1">
        <w:t xml:space="preserve"> grid cells</w:t>
      </w:r>
      <w:r w:rsidR="00AB404E">
        <w:t>)</w:t>
      </w:r>
      <w:r w:rsidR="00A071B8">
        <w:t>. This presented the opportunity to examine walking at a scale more consistent with the behavior of interest</w:t>
      </w:r>
      <w:r w:rsidR="00AC17A1">
        <w:t xml:space="preserve"> and with zones of uniform size</w:t>
      </w:r>
      <w:r w:rsidR="00A071B8">
        <w:t>. However, these data</w:t>
      </w:r>
      <w:r w:rsidR="00AC17A1">
        <w:t xml:space="preserve"> were originally</w:t>
      </w:r>
      <w:r w:rsidR="00A071B8">
        <w:t xml:space="preserve"> continuous and </w:t>
      </w:r>
      <w:r w:rsidR="00AC17A1">
        <w:t xml:space="preserve">were then </w:t>
      </w:r>
      <w:r w:rsidR="00AB404E">
        <w:t xml:space="preserve">reduced </w:t>
      </w:r>
      <w:r w:rsidR="00AC17A1">
        <w:t>to categorical on a scale of</w:t>
      </w:r>
      <w:r w:rsidR="00AB404E">
        <w:t xml:space="preserve"> 1 to 5 based upon natural breaks in </w:t>
      </w:r>
      <w:r w:rsidR="00AC17A1">
        <w:t>their distribution</w:t>
      </w:r>
      <w:r w:rsidR="00AB404E">
        <w:t xml:space="preserve"> over the Portland region in the base year. This resulted in the loss of variation as well as reducing its applicability to other regions or even future Portland conditions. </w:t>
      </w:r>
    </w:p>
    <w:p w14:paraId="530BACE8" w14:textId="4982CC50" w:rsidR="00AB404E" w:rsidRPr="00304B67" w:rsidRDefault="00AB404E" w:rsidP="00AB404E">
      <w:pPr>
        <w:pStyle w:val="BodyText"/>
      </w:pPr>
      <w:r w:rsidRPr="00304B67">
        <w:t>In this research</w:t>
      </w:r>
      <w:r w:rsidR="00AC17A1" w:rsidRPr="00304B67">
        <w:t>,</w:t>
      </w:r>
      <w:r w:rsidRPr="00304B67">
        <w:t xml:space="preserve"> we attempted to address this limitation in the creation of PIE</w:t>
      </w:r>
      <w:r w:rsidRPr="00304B67">
        <w:rPr>
          <w:vertAlign w:val="subscript"/>
        </w:rPr>
        <w:t>bg.</w:t>
      </w:r>
      <w:r w:rsidRPr="00304B67">
        <w:t xml:space="preserve"> However, this new built environment construct also has limitations. In </w:t>
      </w:r>
      <w:r w:rsidR="00AC17A1" w:rsidRPr="00304B67">
        <w:t>using the SLD data at the block group level, we then had comparable data across regions but</w:t>
      </w:r>
      <w:r w:rsidRPr="00304B67">
        <w:t xml:space="preserve"> the fine-grained and consistent</w:t>
      </w:r>
      <w:r w:rsidR="001D2758" w:rsidRPr="00304B67">
        <w:t>ly-sized</w:t>
      </w:r>
      <w:r w:rsidRPr="00304B67">
        <w:t xml:space="preserve"> spatial resolution of the PAZ grid cells</w:t>
      </w:r>
      <w:r w:rsidR="00AC17A1" w:rsidRPr="00304B67">
        <w:t xml:space="preserve"> was lost. Further, we realize that in estimating the various coefficients (or weights) for PIE with built environment variables while not controlling for socio-economic characteristics may bias those estimates.</w:t>
      </w:r>
      <w:r w:rsidR="00894DB1" w:rsidRPr="00304B67">
        <w:t xml:space="preserve"> Also</w:t>
      </w:r>
      <w:r w:rsidR="00304B67" w:rsidRPr="00304B67">
        <w:t>,</w:t>
      </w:r>
      <w:r w:rsidR="00894DB1" w:rsidRPr="00304B67">
        <w:t xml:space="preserve"> there may be econometric issues with our constructs in that we are using the coefficients from a walk mode choice model as weights in our final construction of PIE and then in turn, using that very construct in other models of mode choice and trip distribution in MoPeD. </w:t>
      </w:r>
      <w:r w:rsidR="00304B67" w:rsidRPr="00304B67">
        <w:t>These limitations are problematic.</w:t>
      </w:r>
    </w:p>
    <w:p w14:paraId="519DC057" w14:textId="427E3864" w:rsidR="00603291" w:rsidRDefault="00304B67" w:rsidP="00AB404E">
      <w:pPr>
        <w:pStyle w:val="BodyText"/>
      </w:pPr>
      <w:r w:rsidRPr="00304B67">
        <w:t xml:space="preserve">Now at the end of this </w:t>
      </w:r>
      <w:r w:rsidR="00AB404E" w:rsidRPr="00304B67">
        <w:t>research process</w:t>
      </w:r>
      <w:r w:rsidRPr="00304B67">
        <w:t>,</w:t>
      </w:r>
      <w:r w:rsidR="00AB404E" w:rsidRPr="00304B67">
        <w:t xml:space="preserve"> we have some important recommendations about future attempts to create </w:t>
      </w:r>
      <w:r w:rsidRPr="00304B67">
        <w:t xml:space="preserve">a walkability </w:t>
      </w:r>
      <w:r w:rsidR="00AB404E" w:rsidRPr="00304B67">
        <w:t>measure</w:t>
      </w:r>
      <w:r w:rsidRPr="00304B67">
        <w:t xml:space="preserve"> using various built environment characteristics</w:t>
      </w:r>
      <w:r w:rsidR="00AB404E" w:rsidRPr="00304B67">
        <w:t>.</w:t>
      </w:r>
      <w:r w:rsidRPr="00304B67">
        <w:t xml:space="preserve"> </w:t>
      </w:r>
      <w:r w:rsidR="00AB40FB">
        <w:t>T</w:t>
      </w:r>
      <w:r w:rsidRPr="00304B67">
        <w:t xml:space="preserve">he literature has revealed a myriad of associations between the built environment and walking behavior. </w:t>
      </w:r>
      <w:r w:rsidR="00DD6D24">
        <w:t>M</w:t>
      </w:r>
      <w:r w:rsidRPr="00304B67">
        <w:t xml:space="preserve">any of these characteristics are </w:t>
      </w:r>
      <w:r w:rsidR="00AB40FB">
        <w:t xml:space="preserve">highly </w:t>
      </w:r>
      <w:r w:rsidR="006D4591">
        <w:t xml:space="preserve">correlated with one another and </w:t>
      </w:r>
      <w:r w:rsidR="00DD6D24">
        <w:t>then</w:t>
      </w:r>
      <w:r w:rsidR="00AB40FB">
        <w:t xml:space="preserve">, are problematic when including them as separate independent variables in a model. Thus, this is one of the rationales for creating an aggregate index or measure that reflects the walking environment. </w:t>
      </w:r>
      <w:r w:rsidR="00DD6D24">
        <w:t xml:space="preserve">Given the variations in the availability of data, the difficulties in interpretation, and the correlations between these phenomena, we recommend parsimony in the selection of built environment characteristics to represent in such a measure. </w:t>
      </w:r>
    </w:p>
    <w:p w14:paraId="7F4633B5" w14:textId="386F5243" w:rsidR="00616EDC" w:rsidRDefault="00616EDC" w:rsidP="00AB404E">
      <w:pPr>
        <w:pStyle w:val="BodyText"/>
      </w:pPr>
      <w:r>
        <w:t xml:space="preserve">We recommend using continuous data to represent the built environment rather than reducing the information to a categorical measure. The reasons for this are maintaining the variation in the measure as well as the difficulty in representing environments that exceed the conditions present in the estimation year. </w:t>
      </w:r>
    </w:p>
    <w:p w14:paraId="3D8E7E6F" w14:textId="77777777" w:rsidR="00744CA2" w:rsidRDefault="00DD12DF" w:rsidP="00AB404E">
      <w:pPr>
        <w:pStyle w:val="BodyText"/>
      </w:pPr>
      <w:r>
        <w:t>Of those measures tested in our study, p</w:t>
      </w:r>
      <w:r w:rsidR="00DD6D24" w:rsidRPr="00DD6D24">
        <w:t>opulation density consistent</w:t>
      </w:r>
      <w:r>
        <w:t xml:space="preserve">ly explained more of the variation in </w:t>
      </w:r>
      <w:r w:rsidR="00DD6D24" w:rsidRPr="00DD6D24">
        <w:t>walk mode</w:t>
      </w:r>
      <w:r>
        <w:t xml:space="preserve"> share</w:t>
      </w:r>
      <w:r w:rsidR="00DD6D24">
        <w:t xml:space="preserve">, followed by measures representing </w:t>
      </w:r>
      <w:r w:rsidR="00603291">
        <w:t xml:space="preserve">pedestrian </w:t>
      </w:r>
      <w:r w:rsidR="00DD6D24">
        <w:t>connectivity</w:t>
      </w:r>
      <w:r w:rsidR="00DD6D24" w:rsidRPr="00DD6D24">
        <w:t>.</w:t>
      </w:r>
      <w:r w:rsidR="00603291">
        <w:t xml:space="preserve"> These two built environment characteristics are important to include and not as highly correlated with one another as we originally believed. Several measures of connectivity were tested over the course of this project: average block size, road network density, and average streets per node. There are various concerns and limitations with each. </w:t>
      </w:r>
      <w:r w:rsidR="00DD6D24">
        <w:t>Employment density was highly variable, including the ULI measure, that attempts to capture</w:t>
      </w:r>
      <w:r w:rsidR="00603291">
        <w:t xml:space="preserve"> access to</w:t>
      </w:r>
      <w:r w:rsidR="00DD6D24">
        <w:t xml:space="preserve"> local destinations. </w:t>
      </w:r>
    </w:p>
    <w:p w14:paraId="56D2A712" w14:textId="0E6B1843" w:rsidR="0011199E" w:rsidRDefault="00603291" w:rsidP="00AB404E">
      <w:pPr>
        <w:pStyle w:val="BodyText"/>
      </w:pPr>
      <w:r>
        <w:lastRenderedPageBreak/>
        <w:t xml:space="preserve">Contemporaneous with this study, new guidebook on measuring non-motorized connectivity was completed (FHWA, 2018) with the input and participation of this study's </w:t>
      </w:r>
      <w:proofErr w:type="gramStart"/>
      <w:r>
        <w:t>author</w:t>
      </w:r>
      <w:r w:rsidR="00DD1873">
        <w:t>, and</w:t>
      </w:r>
      <w:proofErr w:type="gramEnd"/>
      <w:r w:rsidR="00DD1873">
        <w:t xml:space="preserve"> offers suggestions that may resolve these issues</w:t>
      </w:r>
      <w:r>
        <w:t>.</w:t>
      </w:r>
      <w:r w:rsidR="00DD1873">
        <w:t xml:space="preserve"> Based upon this guidebook, we recommend inc</w:t>
      </w:r>
      <w:r w:rsidR="0068071B">
        <w:t>lud</w:t>
      </w:r>
      <w:r w:rsidR="00DD1873">
        <w:t xml:space="preserve">ing a pedestrian connectivity measure that captures access to destinations into future walkability indices. This compensates for the low performance of employment density and incorporates network connectivity in one measure. </w:t>
      </w:r>
    </w:p>
    <w:p w14:paraId="1D7D614C" w14:textId="315C72EC" w:rsidR="00DD791B" w:rsidRDefault="00DD791B" w:rsidP="00AB404E">
      <w:pPr>
        <w:pStyle w:val="BodyText"/>
      </w:pPr>
      <w:r>
        <w:t>Transit accessibility and service is a difficult measure to incorporate consistently. From a theoretical perspective, the links between transit and access and egress mode of travel is logical. However, in this work, we are only considering trips where walking is the single mode of transport. Thus, the rationale for including transit accessibility is less clear. One could argue that in areas with good transit, more trips would be made on foot by persons traveling to the area via transit.</w:t>
      </w:r>
      <w:r w:rsidR="00331164">
        <w:t xml:space="preserve"> However, this may be a proxy for (or confounded with) the built environment conditions in these locations. In development of a walkability measure, it may be best to omit transit accessibility from the direct representation of walkability and instead include as an additional measure for better interpretation of results. </w:t>
      </w:r>
    </w:p>
    <w:p w14:paraId="3248A4D2" w14:textId="462C18BC" w:rsidR="00331164" w:rsidRDefault="00B44239" w:rsidP="00AB404E">
      <w:pPr>
        <w:pStyle w:val="BodyText"/>
      </w:pPr>
      <w:r>
        <w:t xml:space="preserve">When data permit, using uniform grid cells as the spatial unit of analysis is preferable to block groups, which suffer from a size differential that is correlated with population density. Others have examined the effects of the size of these grid cells on model performance and have found tradeoffs between size, model run times, and accuracy (Zhang et al. 2018). </w:t>
      </w:r>
      <w:r w:rsidR="00647413">
        <w:t xml:space="preserve">However, the loss of accuracy from doubling the grid size from 80m grids to 160m grids is nominal compared to the advantages for model runs and data availability. </w:t>
      </w:r>
    </w:p>
    <w:p w14:paraId="24BDBA3E" w14:textId="43B5EB79" w:rsidR="00331164" w:rsidRPr="00304B67" w:rsidRDefault="00331164" w:rsidP="00AB404E">
      <w:pPr>
        <w:pStyle w:val="BodyText"/>
      </w:pPr>
      <w:r>
        <w:t xml:space="preserve">In terms of the econometric issues with PIE, </w:t>
      </w:r>
      <w:r w:rsidR="00690039">
        <w:t xml:space="preserve">future </w:t>
      </w:r>
      <w:r>
        <w:t>representation</w:t>
      </w:r>
      <w:r w:rsidR="00690039">
        <w:t>s</w:t>
      </w:r>
      <w:r>
        <w:t xml:space="preserve"> of walkability using PIE index </w:t>
      </w:r>
      <w:r w:rsidR="00690039">
        <w:t>will</w:t>
      </w:r>
      <w:r>
        <w:t xml:space="preserve"> be computed as the sum of the portion of utility function of a walking mode choice model that deals with the built environment. </w:t>
      </w:r>
      <w:r w:rsidR="00616EDC">
        <w:t>By minimizing the number of built environment variables included in this estimation, correlation between built environment variables</w:t>
      </w:r>
      <w:r w:rsidR="00E1756D">
        <w:t xml:space="preserve"> does not exceed the threshold for concern</w:t>
      </w:r>
      <w:r w:rsidR="00616EDC">
        <w:t xml:space="preserve">. </w:t>
      </w:r>
      <w:r w:rsidR="00B40D2A">
        <w:t>Thus,</w:t>
      </w:r>
      <w:r w:rsidR="00E1756D">
        <w:t xml:space="preserve"> they can be included directly without the use of an index. </w:t>
      </w:r>
      <w:r w:rsidR="005A09BA">
        <w:t>He</w:t>
      </w:r>
      <w:r w:rsidR="00690039">
        <w:t xml:space="preserve">re socio-economic and other important characteristics will be controlled for to include inflation of the coefficients for the built environment variables. This development and presentation of these results are outside the scope of this report but are based upon lessons learned during the process of this research. </w:t>
      </w:r>
    </w:p>
    <w:p w14:paraId="71E09ED0" w14:textId="25134BDB" w:rsidR="00304B67" w:rsidRPr="00304B67" w:rsidRDefault="00304B67" w:rsidP="004E5F85">
      <w:pPr>
        <w:pStyle w:val="Heading2"/>
      </w:pPr>
      <w:bookmarkStart w:id="65" w:name="_Toc2003608"/>
      <w:r w:rsidRPr="00304B67">
        <w:t>Future work</w:t>
      </w:r>
      <w:bookmarkEnd w:id="65"/>
    </w:p>
    <w:p w14:paraId="579D13A1" w14:textId="7DEBA517" w:rsidR="00320FDE" w:rsidRDefault="00320FDE" w:rsidP="00320FDE">
      <w:pPr>
        <w:pStyle w:val="BodyText"/>
      </w:pPr>
      <w:r w:rsidRPr="006F228A">
        <w:t xml:space="preserve">Several limitations inhibit stronger conclusions from this analysis. First, there are a limited number of cities included in this exploratory analysis. A more comprehensive study needs a larger number of cities </w:t>
      </w:r>
      <w:r w:rsidR="007E47E8">
        <w:t xml:space="preserve">with </w:t>
      </w:r>
      <w:r w:rsidRPr="006F228A">
        <w:t>different activity density distributions (particularly on the high end) and varying urban spatial structure, includ</w:t>
      </w:r>
      <w:r w:rsidR="00086953" w:rsidRPr="006F228A">
        <w:t xml:space="preserve">ing those from other countries. This expansion of the work could </w:t>
      </w:r>
      <w:r w:rsidRPr="006F228A">
        <w:t xml:space="preserve">help to define regimes, and how these measures interact at different thresholds. Additional analysis </w:t>
      </w:r>
      <w:r w:rsidR="00086953" w:rsidRPr="006F228A">
        <w:t xml:space="preserve">may </w:t>
      </w:r>
      <w:r w:rsidR="003D7583">
        <w:t xml:space="preserve">also </w:t>
      </w:r>
      <w:r w:rsidR="00086953" w:rsidRPr="006F228A">
        <w:t xml:space="preserve">include more </w:t>
      </w:r>
      <w:r w:rsidR="00086953" w:rsidRPr="006F228A">
        <w:rPr>
          <w:noProof/>
        </w:rPr>
        <w:t>advance</w:t>
      </w:r>
      <w:r w:rsidR="00C226F2" w:rsidRPr="006F228A">
        <w:rPr>
          <w:noProof/>
        </w:rPr>
        <w:t>d</w:t>
      </w:r>
      <w:r w:rsidR="00086953" w:rsidRPr="006F228A">
        <w:t xml:space="preserve"> spatial analysis techniques. </w:t>
      </w:r>
    </w:p>
    <w:p w14:paraId="1F79593F" w14:textId="2D44EA77" w:rsidR="007E47E8" w:rsidRDefault="004B792C" w:rsidP="00320FDE">
      <w:pPr>
        <w:pStyle w:val="BodyText"/>
      </w:pPr>
      <w:r>
        <w:t>In addition to considering the recommendations for the construct of PIE and other walkability measures, f</w:t>
      </w:r>
      <w:r w:rsidR="00320FDE" w:rsidRPr="006F228A">
        <w:t xml:space="preserve">uture work may want to include more course measures of the built environment to better capture urban structure, such as amount and distribution of density, total land area, density </w:t>
      </w:r>
      <w:r w:rsidR="00320FDE" w:rsidRPr="006F228A">
        <w:lastRenderedPageBreak/>
        <w:t xml:space="preserve">gradients and continuity, and </w:t>
      </w:r>
      <w:r w:rsidR="00320FDE" w:rsidRPr="006F228A">
        <w:rPr>
          <w:noProof/>
        </w:rPr>
        <w:t>mixed</w:t>
      </w:r>
      <w:r w:rsidR="00C226F2" w:rsidRPr="006F228A">
        <w:rPr>
          <w:noProof/>
        </w:rPr>
        <w:t>-</w:t>
      </w:r>
      <w:r w:rsidR="00320FDE" w:rsidRPr="006F228A">
        <w:rPr>
          <w:noProof/>
        </w:rPr>
        <w:t>use</w:t>
      </w:r>
      <w:r w:rsidR="007E47E8">
        <w:rPr>
          <w:noProof/>
        </w:rPr>
        <w:t>,</w:t>
      </w:r>
      <w:r w:rsidR="00320FDE" w:rsidRPr="006F228A">
        <w:t xml:space="preserve"> as they may play a role in </w:t>
      </w:r>
      <w:r w:rsidR="007E47E8">
        <w:t>understanding traveler response to the built environment, including pedestrian behaviors</w:t>
      </w:r>
      <w:r w:rsidR="00320FDE" w:rsidRPr="006F228A">
        <w:t xml:space="preserve">. </w:t>
      </w:r>
    </w:p>
    <w:p w14:paraId="4006DD48" w14:textId="4828D6DD" w:rsidR="007E47E8" w:rsidRDefault="007E47E8" w:rsidP="00320FDE">
      <w:pPr>
        <w:pStyle w:val="BodyText"/>
      </w:pPr>
      <w:r>
        <w:t>T</w:t>
      </w:r>
      <w:r w:rsidR="00320FDE" w:rsidRPr="006F228A">
        <w:t>he consideration of non-linearities in the built environment-walking relationship</w:t>
      </w:r>
      <w:r>
        <w:t xml:space="preserve"> is one contribution of this work that deserves more exploration</w:t>
      </w:r>
      <w:r w:rsidR="00320FDE" w:rsidRPr="006F228A">
        <w:t>. Although more analysis is needed to understand the specific functional form that these non-linearities take, our analysis provides evidence that continuing to assume linear relationship across the urban spectrum is</w:t>
      </w:r>
      <w:r>
        <w:t xml:space="preserve"> questionable</w:t>
      </w:r>
      <w:r w:rsidR="00320FDE" w:rsidRPr="006F228A">
        <w:t>.</w:t>
      </w:r>
    </w:p>
    <w:p w14:paraId="076DA61C" w14:textId="77777777" w:rsidR="00320FDE" w:rsidRDefault="00320FDE" w:rsidP="00D1654A">
      <w:pPr>
        <w:pStyle w:val="Heading1"/>
      </w:pPr>
      <w:bookmarkStart w:id="66" w:name="_Toc507351470"/>
      <w:bookmarkStart w:id="67" w:name="_Toc2003609"/>
      <w:r>
        <w:t>References</w:t>
      </w:r>
      <w:bookmarkEnd w:id="66"/>
      <w:bookmarkEnd w:id="67"/>
    </w:p>
    <w:p w14:paraId="533373CD" w14:textId="12A56218" w:rsidR="00534AED" w:rsidRPr="00534AED" w:rsidRDefault="00A364CE" w:rsidP="00FA1EDF">
      <w:pPr>
        <w:pStyle w:val="Bibliography"/>
      </w:pPr>
      <w:r w:rsidRPr="001B1E4A">
        <w:fldChar w:fldCharType="begin"/>
      </w:r>
      <w:r w:rsidR="00143E33" w:rsidRPr="000D0D60">
        <w:instrText xml:space="preserve"> ADDIN ZOTERO_BIBL {"custom":[]} CSL_BIBLIOGRAPHY </w:instrText>
      </w:r>
      <w:r w:rsidRPr="001B1E4A">
        <w:fldChar w:fldCharType="separate"/>
      </w:r>
      <w:r w:rsidR="00534AED" w:rsidRPr="00534AED">
        <w:t>Badoe, Daniel A., and Eric J. Miller. 1995. “</w:t>
      </w:r>
      <w:r w:rsidR="003D7583" w:rsidRPr="00534AED">
        <w:t xml:space="preserve">Analysis </w:t>
      </w:r>
      <w:r w:rsidR="003D7583">
        <w:t>o</w:t>
      </w:r>
      <w:r w:rsidR="003D7583" w:rsidRPr="00534AED">
        <w:t xml:space="preserve">f Temporal Transferability </w:t>
      </w:r>
      <w:r w:rsidR="003D7583">
        <w:t>o</w:t>
      </w:r>
      <w:r w:rsidR="003D7583" w:rsidRPr="00534AED">
        <w:t>f Disaggregate Work Trip Mode Choice Models</w:t>
      </w:r>
      <w:r w:rsidR="00534AED" w:rsidRPr="00534AED">
        <w:t xml:space="preserve">.” </w:t>
      </w:r>
      <w:r w:rsidR="00534AED" w:rsidRPr="00534AED">
        <w:rPr>
          <w:i/>
          <w:iCs/>
        </w:rPr>
        <w:t>Transportation Research Record</w:t>
      </w:r>
      <w:r w:rsidR="00534AED" w:rsidRPr="00534AED">
        <w:t>, no. 1493. https://trid.trb.org/view/452588.</w:t>
      </w:r>
    </w:p>
    <w:p w14:paraId="77EE5304" w14:textId="77777777" w:rsidR="00534AED" w:rsidRPr="00534AED" w:rsidRDefault="00534AED" w:rsidP="00FA1EDF">
      <w:pPr>
        <w:pStyle w:val="Bibliography"/>
      </w:pPr>
      <w:r w:rsidRPr="00534AED">
        <w:t xml:space="preserve">Ben-Akiva, Moshe. 1981. “Issues in Transferring and Updating Travel Behavior Models.” In </w:t>
      </w:r>
      <w:r w:rsidRPr="00534AED">
        <w:rPr>
          <w:i/>
          <w:iCs/>
        </w:rPr>
        <w:t>New Horizons in Travel-Behaviour Research</w:t>
      </w:r>
      <w:r w:rsidRPr="00534AED">
        <w:t>, edited by Peter R. Stopher, A.H. Meyburg, and W. Brög, 665–86. Lexington: Lexington Books. https://trid.trb.org/view/1153691.</w:t>
      </w:r>
    </w:p>
    <w:p w14:paraId="0CF3AE9A" w14:textId="181A2110" w:rsidR="00534AED" w:rsidRPr="00534AED" w:rsidRDefault="00534AED" w:rsidP="00FA1EDF">
      <w:pPr>
        <w:pStyle w:val="Bibliography"/>
      </w:pPr>
      <w:r w:rsidRPr="00534AED">
        <w:t>Ben-Akiva, Moshe, and Denis Bolduc. 1987. “</w:t>
      </w:r>
      <w:r w:rsidR="003D7583" w:rsidRPr="00534AED">
        <w:t xml:space="preserve">Approaches </w:t>
      </w:r>
      <w:r w:rsidR="003D7583">
        <w:t>t</w:t>
      </w:r>
      <w:r w:rsidR="003D7583" w:rsidRPr="00534AED">
        <w:t xml:space="preserve">o Model Transferability </w:t>
      </w:r>
      <w:r w:rsidR="003D7583">
        <w:t>a</w:t>
      </w:r>
      <w:r w:rsidR="003D7583" w:rsidRPr="00534AED">
        <w:t>nd Updating: The Combined Transfer Estimator</w:t>
      </w:r>
      <w:r w:rsidRPr="00534AED">
        <w:t xml:space="preserve">.” </w:t>
      </w:r>
      <w:r w:rsidRPr="00534AED">
        <w:rPr>
          <w:i/>
          <w:iCs/>
        </w:rPr>
        <w:t>Transportation Research Record</w:t>
      </w:r>
      <w:r w:rsidRPr="00534AED">
        <w:t>, no. 1139. https://trid.trb.org/view/289161.</w:t>
      </w:r>
    </w:p>
    <w:p w14:paraId="7B7DFE04" w14:textId="77777777" w:rsidR="00534AED" w:rsidRPr="00534AED" w:rsidRDefault="00534AED" w:rsidP="00FA1EDF">
      <w:pPr>
        <w:pStyle w:val="Bibliography"/>
      </w:pPr>
      <w:r w:rsidRPr="00534AED">
        <w:t xml:space="preserve">Berrigan, David, Linda W Pickle, and Jennifer Dill. 2010. “Associations between Street Connectivity and Active Transportation.” </w:t>
      </w:r>
      <w:r w:rsidRPr="00534AED">
        <w:rPr>
          <w:i/>
          <w:iCs/>
        </w:rPr>
        <w:t>International Journal of Health Geographics</w:t>
      </w:r>
      <w:r w:rsidRPr="00534AED">
        <w:t xml:space="preserve"> 9 (1): 20. https://doi.org/10.1186/1476-072X-9-20.</w:t>
      </w:r>
    </w:p>
    <w:p w14:paraId="2B86E8E0" w14:textId="77777777" w:rsidR="00534AED" w:rsidRPr="00534AED" w:rsidRDefault="00534AED" w:rsidP="00FA1EDF">
      <w:pPr>
        <w:pStyle w:val="Bibliography"/>
      </w:pPr>
      <w:r w:rsidRPr="00534AED">
        <w:t xml:space="preserve">Cervero, Robert, and Kara Kockelman. 1997. “Travel Demand and the 3Ds: Density, Diversity, and Design.” </w:t>
      </w:r>
      <w:r w:rsidRPr="00534AED">
        <w:rPr>
          <w:i/>
          <w:iCs/>
        </w:rPr>
        <w:t>Transportation Research Part D: Transport and Environment</w:t>
      </w:r>
      <w:r w:rsidRPr="00534AED">
        <w:t xml:space="preserve"> 2 (3): 199–219. https://doi.org/10.1016/S1361-9209(97)00009-6.</w:t>
      </w:r>
    </w:p>
    <w:p w14:paraId="71A091F1" w14:textId="77777777" w:rsidR="00534AED" w:rsidRPr="00534AED" w:rsidRDefault="00534AED" w:rsidP="00FA1EDF">
      <w:pPr>
        <w:pStyle w:val="Bibliography"/>
      </w:pPr>
      <w:r w:rsidRPr="00534AED">
        <w:t xml:space="preserve">Clifton, Kelly J. 2017. “Getting From Here to There: Comment on ‘Does Compact Development Make People Drive Less?’” </w:t>
      </w:r>
      <w:r w:rsidRPr="00534AED">
        <w:rPr>
          <w:i/>
          <w:iCs/>
        </w:rPr>
        <w:t>Journal of the American Planning Association</w:t>
      </w:r>
      <w:r w:rsidRPr="00534AED">
        <w:t xml:space="preserve"> 83 (2): 148–51. https://doi.org/10.1080/01944363.2017.1290494.</w:t>
      </w:r>
    </w:p>
    <w:p w14:paraId="380BD013" w14:textId="77777777" w:rsidR="00534AED" w:rsidRPr="00534AED" w:rsidRDefault="00534AED" w:rsidP="00FA1EDF">
      <w:pPr>
        <w:pStyle w:val="Bibliography"/>
      </w:pPr>
      <w:r w:rsidRPr="00534AED">
        <w:t xml:space="preserve">Clifton, Kelly J., and Christopher Muhs. 2012. “Capturing and Representing Multimodal Trips in Travel Surveys.” </w:t>
      </w:r>
      <w:r w:rsidRPr="00534AED">
        <w:rPr>
          <w:i/>
          <w:iCs/>
        </w:rPr>
        <w:t>Transportation Research Record: Journal of the Transportation Research Board</w:t>
      </w:r>
      <w:r w:rsidRPr="00534AED">
        <w:t xml:space="preserve"> 2285 (October): 74–83. https://doi.org/10.3141/2285-09.</w:t>
      </w:r>
    </w:p>
    <w:p w14:paraId="383A36C1" w14:textId="77777777" w:rsidR="00534AED" w:rsidRPr="00534AED" w:rsidRDefault="00534AED" w:rsidP="00FA1EDF">
      <w:pPr>
        <w:pStyle w:val="Bibliography"/>
      </w:pPr>
      <w:r w:rsidRPr="00534AED">
        <w:t xml:space="preserve">Clifton, Kelly, Patrick Singleton, Christopher Muhs, and Robert Schneider. 2015. “Development of a Pedestrian Demand Estimation Tool.” </w:t>
      </w:r>
      <w:r w:rsidRPr="00534AED">
        <w:rPr>
          <w:i/>
          <w:iCs/>
        </w:rPr>
        <w:t>Civil and Environmental Engineering Faculty Publications and Presentations</w:t>
      </w:r>
      <w:r w:rsidRPr="00534AED">
        <w:t>, September. https://doi.org/10.15760/trec.124.</w:t>
      </w:r>
    </w:p>
    <w:p w14:paraId="2C535964" w14:textId="77777777" w:rsidR="00534AED" w:rsidRPr="00534AED" w:rsidRDefault="00534AED" w:rsidP="00FA1EDF">
      <w:pPr>
        <w:pStyle w:val="Bibliography"/>
      </w:pPr>
      <w:r w:rsidRPr="00534AED">
        <w:t xml:space="preserve">Clifton, Kelly, Patrick Singleton, Christopher Muhs, Robert Schneider, and Peter Lagerwey. 2013. “Improving the Representation of the Pedestrian Environment in Travel Demand Models, Phase I.” </w:t>
      </w:r>
      <w:r w:rsidRPr="00534AED">
        <w:rPr>
          <w:i/>
          <w:iCs/>
        </w:rPr>
        <w:t>Civil and Environmental Engineering Faculty Publications and Presentations</w:t>
      </w:r>
      <w:r w:rsidRPr="00534AED">
        <w:t>, September. https://doi.org/10.15760/trec.120.</w:t>
      </w:r>
    </w:p>
    <w:p w14:paraId="14990B8D" w14:textId="77777777" w:rsidR="00534AED" w:rsidRPr="00534AED" w:rsidRDefault="00534AED" w:rsidP="00FA1EDF">
      <w:pPr>
        <w:pStyle w:val="Bibliography"/>
      </w:pPr>
      <w:r w:rsidRPr="00534AED">
        <w:t xml:space="preserve">Ewing, Reid, and Robert Cervero. 2010. “Travel and the Built Environment.” </w:t>
      </w:r>
      <w:r w:rsidRPr="00534AED">
        <w:rPr>
          <w:i/>
          <w:iCs/>
        </w:rPr>
        <w:t>Journal of the American Planning Association</w:t>
      </w:r>
      <w:r w:rsidRPr="00534AED">
        <w:t xml:space="preserve"> 76 (3): 265–94. https://doi.org/10.1080/01944361003766766.</w:t>
      </w:r>
    </w:p>
    <w:p w14:paraId="4E5CD8DE" w14:textId="77777777" w:rsidR="00534AED" w:rsidRPr="00534AED" w:rsidRDefault="00534AED" w:rsidP="00FA1EDF">
      <w:pPr>
        <w:pStyle w:val="Bibliography"/>
      </w:pPr>
      <w:r w:rsidRPr="00534AED">
        <w:t xml:space="preserve">———. 2017. “‘Does Compact Development Make People Drive Less?’ The Answer Is Yes.” </w:t>
      </w:r>
      <w:r w:rsidRPr="00534AED">
        <w:rPr>
          <w:i/>
          <w:iCs/>
        </w:rPr>
        <w:t>Journal of the American Planning Association</w:t>
      </w:r>
      <w:r w:rsidRPr="00534AED">
        <w:t xml:space="preserve"> 83 (1): 19–25. https://doi.org/10.1080/01944363.2016.1245112.</w:t>
      </w:r>
    </w:p>
    <w:p w14:paraId="5AF8A2C6" w14:textId="77777777" w:rsidR="00534AED" w:rsidRPr="00534AED" w:rsidRDefault="00534AED" w:rsidP="00FA1EDF">
      <w:pPr>
        <w:pStyle w:val="Bibliography"/>
      </w:pPr>
      <w:r w:rsidRPr="00534AED">
        <w:lastRenderedPageBreak/>
        <w:t xml:space="preserve">Fox, James, Andrew Daly, Stephane Hess, and Eric Miller. 2014. “Temporal Transferability of Models of Mode-Destination Choice for the Greater Toronto and Hamilton Area.” </w:t>
      </w:r>
      <w:r w:rsidRPr="00534AED">
        <w:rPr>
          <w:i/>
          <w:iCs/>
        </w:rPr>
        <w:t>Journal of Transport and Land Use</w:t>
      </w:r>
      <w:r w:rsidRPr="00534AED">
        <w:t xml:space="preserve"> 7 (2): 41. https://doi.org/10.5198/jtlu.v7i2.701.</w:t>
      </w:r>
    </w:p>
    <w:p w14:paraId="0F8975E0" w14:textId="069F701C" w:rsidR="00534AED" w:rsidRDefault="00534AED" w:rsidP="00FA1EDF">
      <w:pPr>
        <w:pStyle w:val="Bibliography"/>
      </w:pPr>
      <w:r w:rsidRPr="00534AED">
        <w:t xml:space="preserve">Frank, Lawrence D. 2000. “Land Use and Transportation Interaction: Implications on Public Health and Quality of Life.” </w:t>
      </w:r>
      <w:r w:rsidRPr="00534AED">
        <w:rPr>
          <w:i/>
          <w:iCs/>
        </w:rPr>
        <w:t>Journal of Planning Education and Research</w:t>
      </w:r>
      <w:r w:rsidRPr="00534AED">
        <w:t xml:space="preserve"> 20 (1): 6–22. https://doi.org/10.1177/073945600128992564.</w:t>
      </w:r>
    </w:p>
    <w:p w14:paraId="2D9C8850" w14:textId="6E95AEBC" w:rsidR="00603291" w:rsidRPr="00FA15E7" w:rsidRDefault="00603291" w:rsidP="00FA15E7">
      <w:pPr>
        <w:ind w:left="720" w:hanging="720"/>
      </w:pPr>
      <w:r>
        <w:t>Federal Highway Administration (FHWA). 2018. "</w:t>
      </w:r>
      <w:r w:rsidR="00FA15E7">
        <w:t xml:space="preserve">FHWA </w:t>
      </w:r>
      <w:r>
        <w:t xml:space="preserve">Guidebook for Estimating </w:t>
      </w:r>
      <w:r w:rsidR="00FA15E7">
        <w:t xml:space="preserve">Multimodal Network Connectivity." </w:t>
      </w:r>
      <w:r w:rsidR="00FA15E7" w:rsidRPr="00FA15E7">
        <w:t>US Departme</w:t>
      </w:r>
      <w:r w:rsidR="00FA15E7">
        <w:t xml:space="preserve">nt of Transportation, Washington, DC. </w:t>
      </w:r>
      <w:r w:rsidR="00FA15E7" w:rsidRPr="00FA15E7">
        <w:t>Availabl</w:t>
      </w:r>
      <w:r w:rsidR="00FA15E7">
        <w:t xml:space="preserve">e online: </w:t>
      </w:r>
      <w:r w:rsidR="00FA15E7" w:rsidRPr="00FA15E7">
        <w:t xml:space="preserve"> https://www.fhwa.dot.gov/environment/bicycle_pedestrian/publications/multimodal_connectivity/fhwahep18032.pdf</w:t>
      </w:r>
    </w:p>
    <w:p w14:paraId="277BD417" w14:textId="77777777" w:rsidR="00534AED" w:rsidRPr="00534AED" w:rsidRDefault="00534AED" w:rsidP="00FA1EDF">
      <w:pPr>
        <w:pStyle w:val="Bibliography"/>
      </w:pPr>
      <w:r w:rsidRPr="00534AED">
        <w:t xml:space="preserve">Greenwald, Michael, and Marlon Boarnet. 2001. “Built Environment as Determinant of Walking Behavior: Analyzing Nonwork Pedestrian Travel in Portland, Oregon.” </w:t>
      </w:r>
      <w:r w:rsidRPr="00534AED">
        <w:rPr>
          <w:i/>
          <w:iCs/>
        </w:rPr>
        <w:t>Transportation Research Record: Journal of the Transportation Research Board</w:t>
      </w:r>
      <w:r w:rsidRPr="00534AED">
        <w:t xml:space="preserve"> 1780 (January): 33–41. https://doi.org/10.3141/1780-05.</w:t>
      </w:r>
    </w:p>
    <w:p w14:paraId="5484354B" w14:textId="77777777" w:rsidR="00534AED" w:rsidRPr="00534AED" w:rsidRDefault="00534AED" w:rsidP="00FA1EDF">
      <w:pPr>
        <w:pStyle w:val="Bibliography"/>
      </w:pPr>
      <w:r w:rsidRPr="00534AED">
        <w:t xml:space="preserve">Handy, Susan. 2017. “Thoughts on the Meaning of Mark Stevens’s Meta-Analysis.” </w:t>
      </w:r>
      <w:r w:rsidRPr="00534AED">
        <w:rPr>
          <w:i/>
          <w:iCs/>
        </w:rPr>
        <w:t>Journal of the American Planning Association</w:t>
      </w:r>
      <w:r w:rsidRPr="00534AED">
        <w:t xml:space="preserve"> 83 (1): 26–28. https://doi.org/10.1080/01944363.2016.1246379.</w:t>
      </w:r>
    </w:p>
    <w:p w14:paraId="6EFD6E43" w14:textId="77777777" w:rsidR="00534AED" w:rsidRPr="00534AED" w:rsidRDefault="00534AED" w:rsidP="00FA1EDF">
      <w:pPr>
        <w:pStyle w:val="Bibliography"/>
      </w:pPr>
      <w:r w:rsidRPr="00534AED">
        <w:t xml:space="preserve">Handy, Susan L., Marlon G. Boarnet, Reid Ewing, and Richard E. Killingsworth. 2002. “How the Built Environment Affects Physical Activity: Views from Urban Planning.” </w:t>
      </w:r>
      <w:r w:rsidRPr="00534AED">
        <w:rPr>
          <w:i/>
          <w:iCs/>
        </w:rPr>
        <w:t>American Journal of Preventive Medicine</w:t>
      </w:r>
      <w:r w:rsidRPr="00534AED">
        <w:t xml:space="preserve"> 23 (2): 64–73. https://doi.org/10.1016/S0749-3797(02)00475-0.</w:t>
      </w:r>
    </w:p>
    <w:p w14:paraId="0B7BEF63" w14:textId="77777777" w:rsidR="00534AED" w:rsidRPr="00534AED" w:rsidRDefault="00534AED" w:rsidP="00FA1EDF">
      <w:pPr>
        <w:pStyle w:val="Bibliography"/>
      </w:pPr>
      <w:r w:rsidRPr="00534AED">
        <w:t xml:space="preserve">Huang, Jingnan, X. X. Lu, and Jefferey M. Sellers. 2007. “A Global Comparative Analysis of Urban Form: Applying Spatial Metrics and Remote Sensing.” </w:t>
      </w:r>
      <w:r w:rsidRPr="00534AED">
        <w:rPr>
          <w:i/>
          <w:iCs/>
        </w:rPr>
        <w:t>Landscape and Urban Planning</w:t>
      </w:r>
      <w:r w:rsidRPr="00534AED">
        <w:t xml:space="preserve"> 82 (4): 184–97. https://doi.org/10.1016/j.landurbplan.2007.02.010.</w:t>
      </w:r>
    </w:p>
    <w:p w14:paraId="2C9B63EF" w14:textId="77777777" w:rsidR="00534AED" w:rsidRPr="00534AED" w:rsidRDefault="00534AED" w:rsidP="00FA1EDF">
      <w:pPr>
        <w:pStyle w:val="Bibliography"/>
      </w:pPr>
      <w:r w:rsidRPr="00534AED">
        <w:t xml:space="preserve">Karasmaa, Nina. 2007. “Evaluation of Transfer Methods for Spatial Travel Demand Models.” </w:t>
      </w:r>
      <w:r w:rsidRPr="00534AED">
        <w:rPr>
          <w:i/>
          <w:iCs/>
        </w:rPr>
        <w:t>Transportation Research Part A: Policy and Practice</w:t>
      </w:r>
      <w:r w:rsidRPr="00534AED">
        <w:t xml:space="preserve"> 41 (5): 411–27. https://doi.org/10.1016/j.tra.2006.09.009.</w:t>
      </w:r>
    </w:p>
    <w:p w14:paraId="60559FCA" w14:textId="77777777" w:rsidR="00534AED" w:rsidRPr="00534AED" w:rsidRDefault="00534AED" w:rsidP="00FA1EDF">
      <w:pPr>
        <w:pStyle w:val="Bibliography"/>
      </w:pPr>
      <w:r w:rsidRPr="00534AED">
        <w:t xml:space="preserve">Kuzmyak, J. Richard, Jerry Walters, Mark Bradley, and Kara M. Kockelman. 2014. “Estimating Bicycling and Walking for Planning and Project Development: A Guidebook.” </w:t>
      </w:r>
      <w:r w:rsidRPr="00534AED">
        <w:rPr>
          <w:i/>
          <w:iCs/>
        </w:rPr>
        <w:t>NCHRP Report</w:t>
      </w:r>
      <w:r w:rsidRPr="00534AED">
        <w:t>, no. 770. https://trid.trb.org/view/1320568.</w:t>
      </w:r>
    </w:p>
    <w:p w14:paraId="4FDFEBAA" w14:textId="77777777" w:rsidR="00534AED" w:rsidRPr="00534AED" w:rsidRDefault="00534AED" w:rsidP="00FA1EDF">
      <w:pPr>
        <w:pStyle w:val="Bibliography"/>
      </w:pPr>
      <w:r w:rsidRPr="00534AED">
        <w:t xml:space="preserve">Larco, Nico, Jean Stockard, Bethany Steiner, and Amanda West. 2013. “Trips to Strips: Walking and Site Design in Suburban Multifamily Housing.” </w:t>
      </w:r>
      <w:r w:rsidRPr="00534AED">
        <w:rPr>
          <w:i/>
          <w:iCs/>
        </w:rPr>
        <w:t>Journal of Urban Design</w:t>
      </w:r>
      <w:r w:rsidRPr="00534AED">
        <w:t xml:space="preserve"> 18 (2): 281–303. https://doi.org/10.1080/13574809.2013.772886.</w:t>
      </w:r>
    </w:p>
    <w:p w14:paraId="5C60A615" w14:textId="77777777" w:rsidR="00534AED" w:rsidRPr="00534AED" w:rsidRDefault="00534AED" w:rsidP="00FA1EDF">
      <w:pPr>
        <w:pStyle w:val="Bibliography"/>
      </w:pPr>
      <w:r w:rsidRPr="00534AED">
        <w:t xml:space="preserve">Lerman, R. 1981. “A Comment on Interspatial, Intraspatial, and Temporal Transferability.” In </w:t>
      </w:r>
      <w:r w:rsidRPr="00534AED">
        <w:rPr>
          <w:i/>
          <w:iCs/>
        </w:rPr>
        <w:t>New Horizons in Travel-Behaviour Research</w:t>
      </w:r>
      <w:r w:rsidRPr="00534AED">
        <w:t>, edited by Peter R. Stopher, A.H. Meyburg, and W. Brög, 628–32. Lexington: Lexington Books.</w:t>
      </w:r>
    </w:p>
    <w:p w14:paraId="02D05EDB" w14:textId="77777777" w:rsidR="00534AED" w:rsidRPr="00534AED" w:rsidRDefault="00534AED" w:rsidP="00FA1EDF">
      <w:pPr>
        <w:pStyle w:val="Bibliography"/>
      </w:pPr>
      <w:r w:rsidRPr="00534AED">
        <w:t xml:space="preserve">Newman, Peter. 2014. “Density, the Sustainability Multiplier: Some Myths and Truths with Application to Perth, Australia.” </w:t>
      </w:r>
      <w:r w:rsidRPr="00534AED">
        <w:rPr>
          <w:i/>
          <w:iCs/>
        </w:rPr>
        <w:t>Sustainability</w:t>
      </w:r>
      <w:r w:rsidRPr="00534AED">
        <w:t xml:space="preserve"> 6 (9): 6467–87. https://doi.org/10.3390/su6096467.</w:t>
      </w:r>
    </w:p>
    <w:p w14:paraId="0ED3A844" w14:textId="77777777" w:rsidR="00534AED" w:rsidRPr="00534AED" w:rsidRDefault="00534AED" w:rsidP="00FA1EDF">
      <w:pPr>
        <w:pStyle w:val="Bibliography"/>
      </w:pPr>
      <w:r w:rsidRPr="00534AED">
        <w:t xml:space="preserve">Nowrouzian, Roosbeh, and Sivaramakrishnan Srinivasan. 2012. “Empirical Analysis of Spatial Transferability of Tour-Generation Models.” </w:t>
      </w:r>
      <w:r w:rsidRPr="00534AED">
        <w:rPr>
          <w:i/>
          <w:iCs/>
        </w:rPr>
        <w:t>Transportation Research Record: Journal of the Transportation Research Board</w:t>
      </w:r>
      <w:r w:rsidRPr="00534AED">
        <w:t xml:space="preserve"> 2302 (December): 14–22. https://doi.org/10.3141/2302-02.</w:t>
      </w:r>
    </w:p>
    <w:p w14:paraId="68EAEEBA" w14:textId="77777777" w:rsidR="00534AED" w:rsidRPr="00534AED" w:rsidRDefault="00534AED" w:rsidP="00FA1EDF">
      <w:pPr>
        <w:pStyle w:val="Bibliography"/>
      </w:pPr>
      <w:r w:rsidRPr="00534AED">
        <w:lastRenderedPageBreak/>
        <w:t xml:space="preserve">Peiravian, Farideddin, Sybil Derrible, and Farukh Ijaz. 2014. “Development and Application of the Pedestrian Environment Index (PEI).” </w:t>
      </w:r>
      <w:r w:rsidRPr="00534AED">
        <w:rPr>
          <w:i/>
          <w:iCs/>
        </w:rPr>
        <w:t>Journal of Transport Geography</w:t>
      </w:r>
      <w:r w:rsidRPr="00534AED">
        <w:t xml:space="preserve"> 39 (July): 73–84. https://doi.org/10.1016/j.jtrangeo.2014.06.020.</w:t>
      </w:r>
    </w:p>
    <w:p w14:paraId="17D544FE" w14:textId="77777777" w:rsidR="00534AED" w:rsidRPr="00534AED" w:rsidRDefault="00534AED" w:rsidP="00FA1EDF">
      <w:pPr>
        <w:pStyle w:val="Bibliography"/>
      </w:pPr>
      <w:r w:rsidRPr="00534AED">
        <w:t xml:space="preserve">Ramsey, Kevin, and Alexander Bell. 2014. “The Smart Location Database: A Nationwide Data Resource Characterizing the Built Environment and Destination Accessibility at the Neighborhood Scale.” </w:t>
      </w:r>
      <w:r w:rsidRPr="00534AED">
        <w:rPr>
          <w:i/>
          <w:iCs/>
        </w:rPr>
        <w:t>Cityscape</w:t>
      </w:r>
      <w:r w:rsidRPr="00534AED">
        <w:t xml:space="preserve"> 16 (2): 145.</w:t>
      </w:r>
    </w:p>
    <w:p w14:paraId="6BC47B91" w14:textId="77777777" w:rsidR="00534AED" w:rsidRPr="00534AED" w:rsidRDefault="00534AED" w:rsidP="00FA1EDF">
      <w:pPr>
        <w:pStyle w:val="Bibliography"/>
      </w:pPr>
      <w:r w:rsidRPr="00534AED">
        <w:t>Rossi, Thomas F., and Chandra R. Bhat. 2014. “Guide for Travel Model Transfer,” October. https://trid.trb.org/view/1353320.</w:t>
      </w:r>
    </w:p>
    <w:p w14:paraId="6BC56BD3" w14:textId="77777777" w:rsidR="00534AED" w:rsidRPr="00534AED" w:rsidRDefault="00534AED" w:rsidP="00FA1EDF">
      <w:pPr>
        <w:pStyle w:val="Bibliography"/>
      </w:pPr>
      <w:r w:rsidRPr="00534AED">
        <w:t xml:space="preserve">Saelens, Brian E., and Susan L. Handy. 2008. “Built Environment Correlates of Walking: A Review.” </w:t>
      </w:r>
      <w:r w:rsidRPr="00534AED">
        <w:rPr>
          <w:i/>
          <w:iCs/>
        </w:rPr>
        <w:t>Medicine and Science in Sports and Exercise</w:t>
      </w:r>
      <w:r w:rsidRPr="00534AED">
        <w:t xml:space="preserve"> 40 (7 Suppl): S550–66. https://doi.org/10.1249/MSS.0b013e31817c67a4.</w:t>
      </w:r>
    </w:p>
    <w:p w14:paraId="0FC66B20" w14:textId="77777777" w:rsidR="00534AED" w:rsidRPr="00534AED" w:rsidRDefault="00534AED" w:rsidP="00FA1EDF">
      <w:pPr>
        <w:pStyle w:val="Bibliography"/>
      </w:pPr>
      <w:r w:rsidRPr="00534AED">
        <w:t xml:space="preserve">Sallis, James F., Robert B. Cervero, William Ascher, Karla A. Henderson, M. Katherine Kraft, and Jacqueline Kerr. 2006. “An Ecological Approach to Creating Active Living Communities.” </w:t>
      </w:r>
      <w:r w:rsidRPr="00534AED">
        <w:rPr>
          <w:i/>
          <w:iCs/>
        </w:rPr>
        <w:t>Annual Review of Public Health</w:t>
      </w:r>
      <w:r w:rsidRPr="00534AED">
        <w:t xml:space="preserve"> 27 (1): 297–322. https://doi.org/10.1146/annurev.publhealth.27.021405.102100.</w:t>
      </w:r>
    </w:p>
    <w:p w14:paraId="4A086CA3" w14:textId="77777777" w:rsidR="00534AED" w:rsidRPr="00534AED" w:rsidRDefault="00534AED" w:rsidP="00FA1EDF">
      <w:pPr>
        <w:pStyle w:val="Bibliography"/>
      </w:pPr>
      <w:r w:rsidRPr="00534AED">
        <w:t xml:space="preserve">Schneider, Robert, Robert Patten, and Jennifer Toole. 2005. “Case Study Analysis of Pedestrian and Bicycle Data Collection in U.S. Communities.” </w:t>
      </w:r>
      <w:r w:rsidRPr="00534AED">
        <w:rPr>
          <w:i/>
          <w:iCs/>
        </w:rPr>
        <w:t>Transportation Research Record: Journal of the Transportation Research Board</w:t>
      </w:r>
      <w:r w:rsidRPr="00534AED">
        <w:t xml:space="preserve"> 1939 (January): 77–90. https://doi.org/10.3141/1939-10.</w:t>
      </w:r>
    </w:p>
    <w:p w14:paraId="403C8407" w14:textId="77777777" w:rsidR="00534AED" w:rsidRPr="00534AED" w:rsidRDefault="00534AED" w:rsidP="00FA1EDF">
      <w:pPr>
        <w:pStyle w:val="Bibliography"/>
      </w:pPr>
      <w:r w:rsidRPr="00534AED">
        <w:t>Singleton, Patrick A., Robert J. Schneider, Christopher Muhs, and Kelly J. Clifton. 2014. “The Pedestrian Index of the Environment: Representing the Walking Environment in Planning Applications.” In . https://trid.trb.org/view/1289281.</w:t>
      </w:r>
    </w:p>
    <w:p w14:paraId="6CA1E013" w14:textId="77777777" w:rsidR="00534AED" w:rsidRPr="00534AED" w:rsidRDefault="00534AED" w:rsidP="00FA1EDF">
      <w:pPr>
        <w:pStyle w:val="Bibliography"/>
      </w:pPr>
      <w:r w:rsidRPr="00534AED">
        <w:t xml:space="preserve">Singleton, Patrick A., Joseph C. Totten, Jaime P. Orrego-Oñate, Robert J. Schneider, and Kelly J. Clifton. 2018. “Making Strides: State-of-the-Practice of Pedestrian Forecasting in Regional Travel Models.” </w:t>
      </w:r>
      <w:r w:rsidRPr="00534AED">
        <w:rPr>
          <w:i/>
          <w:iCs/>
        </w:rPr>
        <w:t>Transportation Research Record: Journal of the Transportation Research Board</w:t>
      </w:r>
      <w:r w:rsidRPr="00534AED">
        <w:t>.</w:t>
      </w:r>
    </w:p>
    <w:p w14:paraId="191E2973" w14:textId="77777777" w:rsidR="00534AED" w:rsidRPr="00534AED" w:rsidRDefault="00534AED" w:rsidP="00FA1EDF">
      <w:pPr>
        <w:pStyle w:val="Bibliography"/>
      </w:pPr>
      <w:r w:rsidRPr="00534AED">
        <w:t xml:space="preserve">Stevens, Mark R. 2017. “Does Compact Development Make People Drive Less?” </w:t>
      </w:r>
      <w:r w:rsidRPr="00534AED">
        <w:rPr>
          <w:i/>
          <w:iCs/>
        </w:rPr>
        <w:t>Journal of the American Planning Association</w:t>
      </w:r>
      <w:r w:rsidRPr="00534AED">
        <w:t xml:space="preserve"> 83 (1): 7–18. https://doi.org/10.1080/01944363.2016.1240044.</w:t>
      </w:r>
    </w:p>
    <w:p w14:paraId="3528CDA9" w14:textId="77777777" w:rsidR="00534AED" w:rsidRPr="00534AED" w:rsidRDefault="00534AED" w:rsidP="00FA1EDF">
      <w:pPr>
        <w:pStyle w:val="Bibliography"/>
      </w:pPr>
      <w:r w:rsidRPr="00534AED">
        <w:t xml:space="preserve">Stewart, Orion T., Anne Vernez Moudon, Brian E. Saelens, Chanam Lee, Bumjoon Kang, and Mark P. Doescher. 2016. “Comparing Associations Between the Built Environment and Walking in Rural Small Towns and a Large Metropolitan Area.” </w:t>
      </w:r>
      <w:r w:rsidRPr="00534AED">
        <w:rPr>
          <w:i/>
          <w:iCs/>
        </w:rPr>
        <w:t>Environment and Behavior</w:t>
      </w:r>
      <w:r w:rsidRPr="00534AED">
        <w:t xml:space="preserve"> 48 (1): 13–36. https://doi.org/10.1177/0013916515612253.</w:t>
      </w:r>
    </w:p>
    <w:p w14:paraId="79669EAA" w14:textId="77777777" w:rsidR="00534AED" w:rsidRPr="00534AED" w:rsidRDefault="00534AED" w:rsidP="00FA1EDF">
      <w:pPr>
        <w:pStyle w:val="Bibliography"/>
      </w:pPr>
      <w:r w:rsidRPr="00534AED">
        <w:t xml:space="preserve">Talen, Emily, and Julia Koschinsky. 2014. “Compact, Walkable, Diverse Neighborhoods:Assessing Effects on Residents.” </w:t>
      </w:r>
      <w:r w:rsidRPr="00534AED">
        <w:rPr>
          <w:i/>
          <w:iCs/>
        </w:rPr>
        <w:t>Housing Policy Debate</w:t>
      </w:r>
      <w:r w:rsidRPr="00534AED">
        <w:t xml:space="preserve"> 24 (4): 717–50. https://doi.org/10.1080/10511482.2014.900102.</w:t>
      </w:r>
    </w:p>
    <w:p w14:paraId="70E1CA87" w14:textId="0D6DEF03" w:rsidR="00534AED" w:rsidRDefault="00534AED" w:rsidP="00FA1EDF">
      <w:pPr>
        <w:pStyle w:val="Bibliography"/>
      </w:pPr>
      <w:r w:rsidRPr="00534AED">
        <w:t>US EPA, OA. 2014. “Smart Location Database Technical Documentation and User Guide.” Data and Tools. US EPA. February 27, 2014. https://www.epa.gov/smartgrowth/smart-location-database-technical-documentation-and-user-guide.</w:t>
      </w:r>
    </w:p>
    <w:p w14:paraId="4D76F046" w14:textId="2FBA8526" w:rsidR="00B44239" w:rsidRPr="00B44239" w:rsidRDefault="00B44239" w:rsidP="00286153">
      <w:pPr>
        <w:ind w:left="720" w:hanging="720"/>
      </w:pPr>
      <w:r>
        <w:t xml:space="preserve">Zhang, Qin; Clifton, Kelly J.; and Moeckel, Rolf, 2018. "Investigation of an Appropriate Spatial Resolution for Large-scaled Pedestrian Travel Demand Models." presented at </w:t>
      </w:r>
      <w:r w:rsidR="00286153">
        <w:t>Mobil.TUM 2018 Urban Mobility: Shaping the Future Together, Munich, Germany, June 13-14, 2018.</w:t>
      </w:r>
      <w:r>
        <w:cr/>
      </w:r>
    </w:p>
    <w:p w14:paraId="44EFA2C8" w14:textId="75AB3D1E" w:rsidR="004A6B25" w:rsidRDefault="00A364CE" w:rsidP="003D7583">
      <w:pPr>
        <w:pStyle w:val="BodyText"/>
      </w:pPr>
      <w:r w:rsidRPr="001B1E4A">
        <w:fldChar w:fldCharType="end"/>
      </w:r>
    </w:p>
    <w:sectPr w:rsidR="004A6B25" w:rsidSect="00B3392E">
      <w:headerReference w:type="default" r:id="rId26"/>
      <w:pgSz w:w="12240" w:h="15840" w:code="1"/>
      <w:pgMar w:top="1440" w:right="1440" w:bottom="1440" w:left="1440" w:header="720" w:footer="720" w:gutter="0"/>
      <w:pgNumType w:start="1"/>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elly Clifton" w:date="2019-02-25T16:08:00Z" w:initials="KC">
    <w:p w14:paraId="128DA4B1" w14:textId="5AA638DF" w:rsidR="00EB31B1" w:rsidRDefault="00EB31B1">
      <w:pPr>
        <w:pStyle w:val="CommentText"/>
      </w:pPr>
      <w:r>
        <w:rPr>
          <w:rStyle w:val="CommentReference"/>
        </w:rPr>
        <w:annotationRef/>
      </w:r>
      <w:r>
        <w:t>Insert report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8DA4B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8DA4B1" w16cid:durableId="201E917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7CF4F5" w14:textId="77777777" w:rsidR="00983295" w:rsidRDefault="00983295">
      <w:r>
        <w:separator/>
      </w:r>
    </w:p>
  </w:endnote>
  <w:endnote w:type="continuationSeparator" w:id="0">
    <w:p w14:paraId="30F3C97B" w14:textId="77777777" w:rsidR="00983295" w:rsidRDefault="00983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G Times (W1)">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47B17" w14:textId="24C030F9" w:rsidR="00983295" w:rsidRPr="00406098" w:rsidRDefault="00983295">
    <w:pPr>
      <w:pStyle w:val="Footer"/>
      <w:jc w:val="center"/>
      <w:rPr>
        <w:rFonts w:ascii="Times New Roman" w:hAnsi="Times New Roman"/>
      </w:rPr>
    </w:pPr>
    <w:r w:rsidRPr="00406098">
      <w:rPr>
        <w:rFonts w:ascii="Times New Roman" w:hAnsi="Times New Roman"/>
      </w:rPr>
      <w:fldChar w:fldCharType="begin"/>
    </w:r>
    <w:r w:rsidRPr="00406098">
      <w:rPr>
        <w:rFonts w:ascii="Times New Roman" w:hAnsi="Times New Roman"/>
      </w:rPr>
      <w:instrText xml:space="preserve"> PAGE   \* MERGEFORMAT </w:instrText>
    </w:r>
    <w:r w:rsidRPr="00406098">
      <w:rPr>
        <w:rFonts w:ascii="Times New Roman" w:hAnsi="Times New Roman"/>
      </w:rPr>
      <w:fldChar w:fldCharType="separate"/>
    </w:r>
    <w:r>
      <w:rPr>
        <w:rFonts w:ascii="Times New Roman" w:hAnsi="Times New Roman"/>
        <w:noProof/>
      </w:rPr>
      <w:t>32</w:t>
    </w:r>
    <w:r w:rsidRPr="00406098">
      <w:rPr>
        <w:rFonts w:ascii="Times New Roman" w:hAnsi="Times New Roman"/>
        <w:noProof/>
      </w:rPr>
      <w:fldChar w:fldCharType="end"/>
    </w:r>
  </w:p>
  <w:p w14:paraId="768315F1" w14:textId="77777777" w:rsidR="00983295" w:rsidRDefault="009832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1664D" w14:textId="77777777" w:rsidR="00983295" w:rsidRDefault="00983295">
      <w:r>
        <w:separator/>
      </w:r>
    </w:p>
  </w:footnote>
  <w:footnote w:type="continuationSeparator" w:id="0">
    <w:p w14:paraId="4C7F18B8" w14:textId="77777777" w:rsidR="00983295" w:rsidRDefault="00983295">
      <w:r>
        <w:continuationSeparator/>
      </w:r>
    </w:p>
  </w:footnote>
  <w:footnote w:id="1">
    <w:p w14:paraId="04714BBE" w14:textId="77777777" w:rsidR="00983295" w:rsidRDefault="00983295"/>
    <w:p w14:paraId="517EFE85" w14:textId="77777777" w:rsidR="00983295" w:rsidRDefault="009832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5C2C" w14:textId="77777777" w:rsidR="00983295" w:rsidRDefault="009832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CEA23E9"/>
    <w:multiLevelType w:val="hybridMultilevel"/>
    <w:tmpl w:val="75E4295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B1873"/>
    <w:multiLevelType w:val="singleLevel"/>
    <w:tmpl w:val="0409000F"/>
    <w:lvl w:ilvl="0">
      <w:start w:val="5"/>
      <w:numFmt w:val="decimal"/>
      <w:lvlText w:val="%1."/>
      <w:lvlJc w:val="left"/>
      <w:pPr>
        <w:tabs>
          <w:tab w:val="num" w:pos="360"/>
        </w:tabs>
        <w:ind w:left="360" w:hanging="360"/>
      </w:pPr>
      <w:rPr>
        <w:rFonts w:hint="default"/>
      </w:rPr>
    </w:lvl>
  </w:abstractNum>
  <w:abstractNum w:abstractNumId="3" w15:restartNumberingAfterBreak="0">
    <w:nsid w:val="1E1E198E"/>
    <w:multiLevelType w:val="hybridMultilevel"/>
    <w:tmpl w:val="05609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61CC4"/>
    <w:multiLevelType w:val="singleLevel"/>
    <w:tmpl w:val="0409000F"/>
    <w:lvl w:ilvl="0">
      <w:start w:val="11"/>
      <w:numFmt w:val="decimal"/>
      <w:lvlText w:val="%1."/>
      <w:lvlJc w:val="left"/>
      <w:pPr>
        <w:tabs>
          <w:tab w:val="num" w:pos="360"/>
        </w:tabs>
        <w:ind w:left="360" w:hanging="360"/>
      </w:pPr>
      <w:rPr>
        <w:rFonts w:hint="default"/>
      </w:rPr>
    </w:lvl>
  </w:abstractNum>
  <w:abstractNum w:abstractNumId="5" w15:restartNumberingAfterBreak="0">
    <w:nsid w:val="2A2F7958"/>
    <w:multiLevelType w:val="hybridMultilevel"/>
    <w:tmpl w:val="CA6AD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75700C"/>
    <w:multiLevelType w:val="hybridMultilevel"/>
    <w:tmpl w:val="A1246C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8163F"/>
    <w:multiLevelType w:val="hybridMultilevel"/>
    <w:tmpl w:val="4DEA9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2B2997"/>
    <w:multiLevelType w:val="hybridMultilevel"/>
    <w:tmpl w:val="6D782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61FE5"/>
    <w:multiLevelType w:val="hybridMultilevel"/>
    <w:tmpl w:val="5C6624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C82E8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4C0118E1"/>
    <w:multiLevelType w:val="multilevel"/>
    <w:tmpl w:val="9918D2E4"/>
    <w:lvl w:ilvl="0">
      <w:start w:val="1"/>
      <w:numFmt w:val="decimal"/>
      <w:pStyle w:val="Heading1"/>
      <w:lvlText w:val="%1.0"/>
      <w:lvlJc w:val="left"/>
      <w:pPr>
        <w:tabs>
          <w:tab w:val="num" w:pos="720"/>
        </w:tabs>
        <w:ind w:left="0" w:firstLine="0"/>
      </w:pPr>
    </w:lvl>
    <w:lvl w:ilvl="1">
      <w:start w:val="1"/>
      <w:numFmt w:val="decimal"/>
      <w:pStyle w:val="Heading2"/>
      <w:lvlText w:val="%1.%2"/>
      <w:lvlJc w:val="left"/>
      <w:pPr>
        <w:tabs>
          <w:tab w:val="num" w:pos="720"/>
        </w:tabs>
        <w:ind w:left="0" w:firstLine="0"/>
      </w:pPr>
    </w:lvl>
    <w:lvl w:ilvl="2">
      <w:start w:val="1"/>
      <w:numFmt w:val="decimal"/>
      <w:pStyle w:val="Heading3"/>
      <w:lvlText w:val="%1.%2.%3"/>
      <w:lvlJc w:val="left"/>
      <w:pPr>
        <w:tabs>
          <w:tab w:val="num" w:pos="720"/>
        </w:tabs>
        <w:ind w:left="0" w:firstLine="0"/>
      </w:pPr>
    </w:lvl>
    <w:lvl w:ilvl="3">
      <w:start w:val="1"/>
      <w:numFmt w:val="decimal"/>
      <w:pStyle w:val="Heading4"/>
      <w:lvlText w:val="%1.%2.%3.%4"/>
      <w:lvlJc w:val="left"/>
      <w:pPr>
        <w:tabs>
          <w:tab w:val="num" w:pos="1800"/>
        </w:tabs>
        <w:ind w:left="1080" w:hanging="360"/>
      </w:pPr>
    </w:lvl>
    <w:lvl w:ilvl="4">
      <w:start w:val="1"/>
      <w:numFmt w:val="decimal"/>
      <w:pStyle w:val="Heading5"/>
      <w:lvlText w:val="%1.%2.%3.%4.%5"/>
      <w:lvlJc w:val="left"/>
      <w:pPr>
        <w:tabs>
          <w:tab w:val="num" w:pos="2880"/>
        </w:tabs>
        <w:ind w:left="144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56EB2CED"/>
    <w:multiLevelType w:val="hybridMultilevel"/>
    <w:tmpl w:val="4AF05DBA"/>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BD304E"/>
    <w:multiLevelType w:val="singleLevel"/>
    <w:tmpl w:val="11E869FA"/>
    <w:lvl w:ilvl="0">
      <w:start w:val="20"/>
      <w:numFmt w:val="decimal"/>
      <w:lvlText w:val="%1."/>
      <w:lvlJc w:val="left"/>
      <w:pPr>
        <w:tabs>
          <w:tab w:val="num" w:pos="360"/>
        </w:tabs>
        <w:ind w:left="360" w:hanging="360"/>
      </w:pPr>
      <w:rPr>
        <w:rFonts w:hint="default"/>
      </w:rPr>
    </w:lvl>
  </w:abstractNum>
  <w:abstractNum w:abstractNumId="14" w15:restartNumberingAfterBreak="0">
    <w:nsid w:val="5F197DC6"/>
    <w:multiLevelType w:val="singleLevel"/>
    <w:tmpl w:val="0409000F"/>
    <w:lvl w:ilvl="0">
      <w:start w:val="6"/>
      <w:numFmt w:val="decimal"/>
      <w:lvlText w:val="%1."/>
      <w:lvlJc w:val="left"/>
      <w:pPr>
        <w:tabs>
          <w:tab w:val="num" w:pos="360"/>
        </w:tabs>
        <w:ind w:left="360" w:hanging="360"/>
      </w:pPr>
      <w:rPr>
        <w:rFonts w:hint="default"/>
      </w:rPr>
    </w:lvl>
  </w:abstractNum>
  <w:abstractNum w:abstractNumId="15" w15:restartNumberingAfterBreak="0">
    <w:nsid w:val="630F7704"/>
    <w:multiLevelType w:val="hybridMultilevel"/>
    <w:tmpl w:val="6B8402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31B572F"/>
    <w:multiLevelType w:val="hybridMultilevel"/>
    <w:tmpl w:val="D3808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EB696A"/>
    <w:multiLevelType w:val="hybridMultilevel"/>
    <w:tmpl w:val="C8BE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6C04D6"/>
    <w:multiLevelType w:val="hybridMultilevel"/>
    <w:tmpl w:val="65E2E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F91"/>
    <w:multiLevelType w:val="hybridMultilevel"/>
    <w:tmpl w:val="5A74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654C54"/>
    <w:multiLevelType w:val="hybridMultilevel"/>
    <w:tmpl w:val="B7C2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407ED9"/>
    <w:multiLevelType w:val="hybridMultilevel"/>
    <w:tmpl w:val="4998D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1"/>
  </w:num>
  <w:num w:numId="3">
    <w:abstractNumId w:val="11"/>
  </w:num>
  <w:num w:numId="4">
    <w:abstractNumId w:val="11"/>
  </w:num>
  <w:num w:numId="5">
    <w:abstractNumId w:val="11"/>
  </w:num>
  <w:num w:numId="6">
    <w:abstractNumId w:val="11"/>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2">
    <w:abstractNumId w:val="14"/>
  </w:num>
  <w:num w:numId="23">
    <w:abstractNumId w:val="13"/>
  </w:num>
  <w:num w:numId="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5">
    <w:abstractNumId w:val="10"/>
  </w:num>
  <w:num w:numId="26">
    <w:abstractNumId w:val="2"/>
  </w:num>
  <w:num w:numId="27">
    <w:abstractNumId w:val="4"/>
  </w:num>
  <w:num w:numId="28">
    <w:abstractNumId w:val="11"/>
  </w:num>
  <w:num w:numId="29">
    <w:abstractNumId w:val="11"/>
  </w:num>
  <w:num w:numId="30">
    <w:abstractNumId w:val="11"/>
  </w:num>
  <w:num w:numId="31">
    <w:abstractNumId w:val="3"/>
  </w:num>
  <w:num w:numId="32">
    <w:abstractNumId w:val="5"/>
  </w:num>
  <w:num w:numId="33">
    <w:abstractNumId w:val="17"/>
  </w:num>
  <w:num w:numId="34">
    <w:abstractNumId w:val="9"/>
  </w:num>
  <w:num w:numId="35">
    <w:abstractNumId w:val="12"/>
  </w:num>
  <w:num w:numId="36">
    <w:abstractNumId w:val="8"/>
  </w:num>
  <w:num w:numId="37">
    <w:abstractNumId w:val="15"/>
  </w:num>
  <w:num w:numId="38">
    <w:abstractNumId w:val="6"/>
  </w:num>
  <w:num w:numId="39">
    <w:abstractNumId w:val="7"/>
  </w:num>
  <w:num w:numId="40">
    <w:abstractNumId w:val="19"/>
  </w:num>
  <w:num w:numId="41">
    <w:abstractNumId w:val="16"/>
  </w:num>
  <w:num w:numId="42">
    <w:abstractNumId w:val="18"/>
  </w:num>
  <w:num w:numId="43">
    <w:abstractNumId w:val="21"/>
  </w:num>
  <w:num w:numId="44">
    <w:abstractNumId w:val="20"/>
  </w:num>
  <w:num w:numId="4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lly Clifton">
    <w15:presenceInfo w15:providerId="Windows Live" w15:userId="18f5509e386009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pt-PT"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AytrQ0NzEwtTQxMzBW0lEKTi0uzszPAykwqQUALBZdYywAAAA="/>
  </w:docVars>
  <w:rsids>
    <w:rsidRoot w:val="009406D6"/>
    <w:rsid w:val="00000DA8"/>
    <w:rsid w:val="00000E7A"/>
    <w:rsid w:val="00005908"/>
    <w:rsid w:val="000062BD"/>
    <w:rsid w:val="00007328"/>
    <w:rsid w:val="00007B96"/>
    <w:rsid w:val="000100DD"/>
    <w:rsid w:val="000105A8"/>
    <w:rsid w:val="00013AE1"/>
    <w:rsid w:val="00013B0E"/>
    <w:rsid w:val="00014F3D"/>
    <w:rsid w:val="000158B8"/>
    <w:rsid w:val="00015E55"/>
    <w:rsid w:val="000175AF"/>
    <w:rsid w:val="000212A7"/>
    <w:rsid w:val="00021589"/>
    <w:rsid w:val="00022C25"/>
    <w:rsid w:val="00022EFE"/>
    <w:rsid w:val="00026016"/>
    <w:rsid w:val="00027283"/>
    <w:rsid w:val="000277A8"/>
    <w:rsid w:val="00031C9D"/>
    <w:rsid w:val="00031D87"/>
    <w:rsid w:val="0003275A"/>
    <w:rsid w:val="00035265"/>
    <w:rsid w:val="0004107C"/>
    <w:rsid w:val="000431AC"/>
    <w:rsid w:val="00043EA6"/>
    <w:rsid w:val="00047444"/>
    <w:rsid w:val="000501FA"/>
    <w:rsid w:val="00054952"/>
    <w:rsid w:val="0006328F"/>
    <w:rsid w:val="00063B2B"/>
    <w:rsid w:val="00063D5E"/>
    <w:rsid w:val="00063EF4"/>
    <w:rsid w:val="0006467F"/>
    <w:rsid w:val="000657EF"/>
    <w:rsid w:val="000668B3"/>
    <w:rsid w:val="00070FAD"/>
    <w:rsid w:val="00071E58"/>
    <w:rsid w:val="00071FB6"/>
    <w:rsid w:val="00073DD1"/>
    <w:rsid w:val="000745DB"/>
    <w:rsid w:val="0007609E"/>
    <w:rsid w:val="00076B77"/>
    <w:rsid w:val="000808DF"/>
    <w:rsid w:val="00082378"/>
    <w:rsid w:val="00083F13"/>
    <w:rsid w:val="00086953"/>
    <w:rsid w:val="000920E3"/>
    <w:rsid w:val="00092B55"/>
    <w:rsid w:val="00094473"/>
    <w:rsid w:val="00097074"/>
    <w:rsid w:val="00097288"/>
    <w:rsid w:val="000A0478"/>
    <w:rsid w:val="000A0D87"/>
    <w:rsid w:val="000A682E"/>
    <w:rsid w:val="000B472B"/>
    <w:rsid w:val="000B622E"/>
    <w:rsid w:val="000C26D2"/>
    <w:rsid w:val="000C5858"/>
    <w:rsid w:val="000D064A"/>
    <w:rsid w:val="000D0D60"/>
    <w:rsid w:val="000D0E85"/>
    <w:rsid w:val="000D159A"/>
    <w:rsid w:val="000D1762"/>
    <w:rsid w:val="000D23EA"/>
    <w:rsid w:val="000D2902"/>
    <w:rsid w:val="000D3FA3"/>
    <w:rsid w:val="000D716B"/>
    <w:rsid w:val="000D775C"/>
    <w:rsid w:val="000D79D7"/>
    <w:rsid w:val="000E1649"/>
    <w:rsid w:val="000E4762"/>
    <w:rsid w:val="000F3678"/>
    <w:rsid w:val="000F379A"/>
    <w:rsid w:val="000F4CA2"/>
    <w:rsid w:val="000F660D"/>
    <w:rsid w:val="000F7B79"/>
    <w:rsid w:val="001024A5"/>
    <w:rsid w:val="001051DC"/>
    <w:rsid w:val="00106553"/>
    <w:rsid w:val="00107C48"/>
    <w:rsid w:val="001116B9"/>
    <w:rsid w:val="0011199E"/>
    <w:rsid w:val="001146B4"/>
    <w:rsid w:val="001150F9"/>
    <w:rsid w:val="00115842"/>
    <w:rsid w:val="00116314"/>
    <w:rsid w:val="00117CB7"/>
    <w:rsid w:val="0012083B"/>
    <w:rsid w:val="001212E7"/>
    <w:rsid w:val="00121587"/>
    <w:rsid w:val="001242F5"/>
    <w:rsid w:val="001261D7"/>
    <w:rsid w:val="0012743B"/>
    <w:rsid w:val="001277B3"/>
    <w:rsid w:val="001316C5"/>
    <w:rsid w:val="001326F7"/>
    <w:rsid w:val="0013331D"/>
    <w:rsid w:val="00134686"/>
    <w:rsid w:val="00134C5E"/>
    <w:rsid w:val="001369FD"/>
    <w:rsid w:val="001379B0"/>
    <w:rsid w:val="00140A32"/>
    <w:rsid w:val="0014113D"/>
    <w:rsid w:val="00141232"/>
    <w:rsid w:val="001414A8"/>
    <w:rsid w:val="00142AC6"/>
    <w:rsid w:val="00142DCC"/>
    <w:rsid w:val="00143E33"/>
    <w:rsid w:val="00144783"/>
    <w:rsid w:val="00146057"/>
    <w:rsid w:val="0014664A"/>
    <w:rsid w:val="00152819"/>
    <w:rsid w:val="0015557D"/>
    <w:rsid w:val="001621A8"/>
    <w:rsid w:val="0016284E"/>
    <w:rsid w:val="00163796"/>
    <w:rsid w:val="00163954"/>
    <w:rsid w:val="00164D73"/>
    <w:rsid w:val="001661FC"/>
    <w:rsid w:val="0017049F"/>
    <w:rsid w:val="0017238E"/>
    <w:rsid w:val="001730EE"/>
    <w:rsid w:val="00181234"/>
    <w:rsid w:val="00182690"/>
    <w:rsid w:val="00184F24"/>
    <w:rsid w:val="00186377"/>
    <w:rsid w:val="00194149"/>
    <w:rsid w:val="0019511D"/>
    <w:rsid w:val="00197097"/>
    <w:rsid w:val="001A4A43"/>
    <w:rsid w:val="001A57DC"/>
    <w:rsid w:val="001A6018"/>
    <w:rsid w:val="001A69AF"/>
    <w:rsid w:val="001A72FF"/>
    <w:rsid w:val="001A78BF"/>
    <w:rsid w:val="001B08FD"/>
    <w:rsid w:val="001B1E4A"/>
    <w:rsid w:val="001B2E45"/>
    <w:rsid w:val="001B795A"/>
    <w:rsid w:val="001C0DBD"/>
    <w:rsid w:val="001C2379"/>
    <w:rsid w:val="001C2EB8"/>
    <w:rsid w:val="001C408B"/>
    <w:rsid w:val="001C759C"/>
    <w:rsid w:val="001D08A7"/>
    <w:rsid w:val="001D10C5"/>
    <w:rsid w:val="001D13FC"/>
    <w:rsid w:val="001D2758"/>
    <w:rsid w:val="001D7645"/>
    <w:rsid w:val="001E42CF"/>
    <w:rsid w:val="001E799D"/>
    <w:rsid w:val="001F2E5E"/>
    <w:rsid w:val="001F3D6C"/>
    <w:rsid w:val="001F5150"/>
    <w:rsid w:val="002030EF"/>
    <w:rsid w:val="002048CE"/>
    <w:rsid w:val="00204F29"/>
    <w:rsid w:val="0020526E"/>
    <w:rsid w:val="00207414"/>
    <w:rsid w:val="0020769D"/>
    <w:rsid w:val="002119CC"/>
    <w:rsid w:val="00211B4D"/>
    <w:rsid w:val="00212BF1"/>
    <w:rsid w:val="00215656"/>
    <w:rsid w:val="00215C03"/>
    <w:rsid w:val="00220145"/>
    <w:rsid w:val="0022033F"/>
    <w:rsid w:val="00222D92"/>
    <w:rsid w:val="00223682"/>
    <w:rsid w:val="00226322"/>
    <w:rsid w:val="00226E10"/>
    <w:rsid w:val="00230839"/>
    <w:rsid w:val="002317AE"/>
    <w:rsid w:val="00231A83"/>
    <w:rsid w:val="00231F02"/>
    <w:rsid w:val="002340C1"/>
    <w:rsid w:val="00235388"/>
    <w:rsid w:val="0023796A"/>
    <w:rsid w:val="002406F0"/>
    <w:rsid w:val="00243E7D"/>
    <w:rsid w:val="002443C8"/>
    <w:rsid w:val="002457F3"/>
    <w:rsid w:val="00250DD1"/>
    <w:rsid w:val="00252F62"/>
    <w:rsid w:val="002611D1"/>
    <w:rsid w:val="00261DA9"/>
    <w:rsid w:val="002630B0"/>
    <w:rsid w:val="00263605"/>
    <w:rsid w:val="002637A7"/>
    <w:rsid w:val="00264266"/>
    <w:rsid w:val="00270693"/>
    <w:rsid w:val="00270F99"/>
    <w:rsid w:val="0028007E"/>
    <w:rsid w:val="002823F2"/>
    <w:rsid w:val="00282A54"/>
    <w:rsid w:val="002846DF"/>
    <w:rsid w:val="002854FC"/>
    <w:rsid w:val="00286153"/>
    <w:rsid w:val="00291562"/>
    <w:rsid w:val="002930B5"/>
    <w:rsid w:val="00294536"/>
    <w:rsid w:val="00297E4D"/>
    <w:rsid w:val="002A030C"/>
    <w:rsid w:val="002A06DB"/>
    <w:rsid w:val="002A5B5E"/>
    <w:rsid w:val="002A62D4"/>
    <w:rsid w:val="002A6B7F"/>
    <w:rsid w:val="002A7F46"/>
    <w:rsid w:val="002B1385"/>
    <w:rsid w:val="002B1A75"/>
    <w:rsid w:val="002B2B70"/>
    <w:rsid w:val="002B63A9"/>
    <w:rsid w:val="002B6498"/>
    <w:rsid w:val="002B69BC"/>
    <w:rsid w:val="002C2E85"/>
    <w:rsid w:val="002C32DE"/>
    <w:rsid w:val="002C3C7D"/>
    <w:rsid w:val="002C4F6B"/>
    <w:rsid w:val="002C57E4"/>
    <w:rsid w:val="002D30FE"/>
    <w:rsid w:val="002D341B"/>
    <w:rsid w:val="002D3A96"/>
    <w:rsid w:val="002D4146"/>
    <w:rsid w:val="002D5220"/>
    <w:rsid w:val="002D74FC"/>
    <w:rsid w:val="002E14A3"/>
    <w:rsid w:val="002E6233"/>
    <w:rsid w:val="002E6B78"/>
    <w:rsid w:val="002F2358"/>
    <w:rsid w:val="002F4052"/>
    <w:rsid w:val="002F65BD"/>
    <w:rsid w:val="002F66A1"/>
    <w:rsid w:val="002F68A4"/>
    <w:rsid w:val="002F7D7F"/>
    <w:rsid w:val="002F7D87"/>
    <w:rsid w:val="00304B67"/>
    <w:rsid w:val="003052BC"/>
    <w:rsid w:val="00305758"/>
    <w:rsid w:val="00305A1E"/>
    <w:rsid w:val="00306035"/>
    <w:rsid w:val="003100A2"/>
    <w:rsid w:val="00310642"/>
    <w:rsid w:val="00310843"/>
    <w:rsid w:val="003113B5"/>
    <w:rsid w:val="00311DA7"/>
    <w:rsid w:val="00313595"/>
    <w:rsid w:val="00313898"/>
    <w:rsid w:val="00320FDE"/>
    <w:rsid w:val="00323D88"/>
    <w:rsid w:val="00324553"/>
    <w:rsid w:val="00326721"/>
    <w:rsid w:val="00331164"/>
    <w:rsid w:val="0033237E"/>
    <w:rsid w:val="00332B6D"/>
    <w:rsid w:val="003335E9"/>
    <w:rsid w:val="00342087"/>
    <w:rsid w:val="003424DA"/>
    <w:rsid w:val="00342C43"/>
    <w:rsid w:val="00343072"/>
    <w:rsid w:val="00352877"/>
    <w:rsid w:val="00353079"/>
    <w:rsid w:val="00353104"/>
    <w:rsid w:val="003536BA"/>
    <w:rsid w:val="00353772"/>
    <w:rsid w:val="00354D0B"/>
    <w:rsid w:val="00355958"/>
    <w:rsid w:val="00355C1F"/>
    <w:rsid w:val="00361CBD"/>
    <w:rsid w:val="00361F38"/>
    <w:rsid w:val="003645C7"/>
    <w:rsid w:val="003650D4"/>
    <w:rsid w:val="00367C12"/>
    <w:rsid w:val="00370DB7"/>
    <w:rsid w:val="00372BFA"/>
    <w:rsid w:val="00375B02"/>
    <w:rsid w:val="00376480"/>
    <w:rsid w:val="00377B76"/>
    <w:rsid w:val="00383C32"/>
    <w:rsid w:val="00384B6A"/>
    <w:rsid w:val="00386E2A"/>
    <w:rsid w:val="00387527"/>
    <w:rsid w:val="0039101A"/>
    <w:rsid w:val="003A03EB"/>
    <w:rsid w:val="003A1E54"/>
    <w:rsid w:val="003A1E8D"/>
    <w:rsid w:val="003A4D19"/>
    <w:rsid w:val="003A560B"/>
    <w:rsid w:val="003A64A4"/>
    <w:rsid w:val="003A670A"/>
    <w:rsid w:val="003B18E1"/>
    <w:rsid w:val="003B260E"/>
    <w:rsid w:val="003B4FD0"/>
    <w:rsid w:val="003B5F56"/>
    <w:rsid w:val="003C09CB"/>
    <w:rsid w:val="003C1548"/>
    <w:rsid w:val="003C154C"/>
    <w:rsid w:val="003C4A81"/>
    <w:rsid w:val="003C6EE6"/>
    <w:rsid w:val="003C7F2E"/>
    <w:rsid w:val="003D170C"/>
    <w:rsid w:val="003D5633"/>
    <w:rsid w:val="003D7583"/>
    <w:rsid w:val="003E0448"/>
    <w:rsid w:val="003E0E1D"/>
    <w:rsid w:val="003E258B"/>
    <w:rsid w:val="003E3922"/>
    <w:rsid w:val="003E4A97"/>
    <w:rsid w:val="003E762A"/>
    <w:rsid w:val="003F3198"/>
    <w:rsid w:val="003F3A88"/>
    <w:rsid w:val="003F4961"/>
    <w:rsid w:val="003F57CC"/>
    <w:rsid w:val="00401753"/>
    <w:rsid w:val="004018A9"/>
    <w:rsid w:val="00405758"/>
    <w:rsid w:val="00406098"/>
    <w:rsid w:val="00411F0D"/>
    <w:rsid w:val="004135F0"/>
    <w:rsid w:val="0041457A"/>
    <w:rsid w:val="004145F6"/>
    <w:rsid w:val="004172BA"/>
    <w:rsid w:val="0041737A"/>
    <w:rsid w:val="00420182"/>
    <w:rsid w:val="0042168F"/>
    <w:rsid w:val="00422181"/>
    <w:rsid w:val="00425020"/>
    <w:rsid w:val="0042626D"/>
    <w:rsid w:val="004302AA"/>
    <w:rsid w:val="00431B57"/>
    <w:rsid w:val="0043235C"/>
    <w:rsid w:val="004344D1"/>
    <w:rsid w:val="00435CFA"/>
    <w:rsid w:val="00436822"/>
    <w:rsid w:val="004417E5"/>
    <w:rsid w:val="004452DC"/>
    <w:rsid w:val="004455C7"/>
    <w:rsid w:val="004526F9"/>
    <w:rsid w:val="0045284F"/>
    <w:rsid w:val="00453E92"/>
    <w:rsid w:val="004542D0"/>
    <w:rsid w:val="004574DB"/>
    <w:rsid w:val="00460F95"/>
    <w:rsid w:val="004634D5"/>
    <w:rsid w:val="00463544"/>
    <w:rsid w:val="00464E19"/>
    <w:rsid w:val="0046550D"/>
    <w:rsid w:val="0046771D"/>
    <w:rsid w:val="00470211"/>
    <w:rsid w:val="00470B07"/>
    <w:rsid w:val="00471AD7"/>
    <w:rsid w:val="00474DD6"/>
    <w:rsid w:val="00484499"/>
    <w:rsid w:val="00484855"/>
    <w:rsid w:val="00485D09"/>
    <w:rsid w:val="00486CEC"/>
    <w:rsid w:val="0049132F"/>
    <w:rsid w:val="004923C5"/>
    <w:rsid w:val="004927BE"/>
    <w:rsid w:val="00494E8E"/>
    <w:rsid w:val="004A21E2"/>
    <w:rsid w:val="004A617D"/>
    <w:rsid w:val="004A6B25"/>
    <w:rsid w:val="004A6E8A"/>
    <w:rsid w:val="004B555D"/>
    <w:rsid w:val="004B57BD"/>
    <w:rsid w:val="004B5907"/>
    <w:rsid w:val="004B792C"/>
    <w:rsid w:val="004C0800"/>
    <w:rsid w:val="004C389D"/>
    <w:rsid w:val="004C41A0"/>
    <w:rsid w:val="004C52DF"/>
    <w:rsid w:val="004D1B73"/>
    <w:rsid w:val="004D25FB"/>
    <w:rsid w:val="004D4186"/>
    <w:rsid w:val="004D50AF"/>
    <w:rsid w:val="004D617E"/>
    <w:rsid w:val="004D7FE2"/>
    <w:rsid w:val="004E0B3B"/>
    <w:rsid w:val="004E5F85"/>
    <w:rsid w:val="004E6B23"/>
    <w:rsid w:val="004F2B21"/>
    <w:rsid w:val="004F371F"/>
    <w:rsid w:val="004F51AE"/>
    <w:rsid w:val="00500825"/>
    <w:rsid w:val="005018ED"/>
    <w:rsid w:val="005035C5"/>
    <w:rsid w:val="005041BB"/>
    <w:rsid w:val="005073A7"/>
    <w:rsid w:val="0051052B"/>
    <w:rsid w:val="00515238"/>
    <w:rsid w:val="00515549"/>
    <w:rsid w:val="00515A5C"/>
    <w:rsid w:val="00521574"/>
    <w:rsid w:val="00524185"/>
    <w:rsid w:val="005247EE"/>
    <w:rsid w:val="00526978"/>
    <w:rsid w:val="00531697"/>
    <w:rsid w:val="0053209F"/>
    <w:rsid w:val="00532427"/>
    <w:rsid w:val="005345D3"/>
    <w:rsid w:val="00534AED"/>
    <w:rsid w:val="0053688E"/>
    <w:rsid w:val="0053691C"/>
    <w:rsid w:val="005407B7"/>
    <w:rsid w:val="00541DFE"/>
    <w:rsid w:val="00544D8E"/>
    <w:rsid w:val="00546407"/>
    <w:rsid w:val="005468F3"/>
    <w:rsid w:val="0054799B"/>
    <w:rsid w:val="00551461"/>
    <w:rsid w:val="00552A0D"/>
    <w:rsid w:val="00552CA4"/>
    <w:rsid w:val="00560B29"/>
    <w:rsid w:val="00562C5E"/>
    <w:rsid w:val="00563E2E"/>
    <w:rsid w:val="00564167"/>
    <w:rsid w:val="00566668"/>
    <w:rsid w:val="005669E7"/>
    <w:rsid w:val="00566D21"/>
    <w:rsid w:val="0057008D"/>
    <w:rsid w:val="00572C84"/>
    <w:rsid w:val="00574662"/>
    <w:rsid w:val="00574F80"/>
    <w:rsid w:val="0057629C"/>
    <w:rsid w:val="00576F63"/>
    <w:rsid w:val="00577BF4"/>
    <w:rsid w:val="00581DC3"/>
    <w:rsid w:val="00583741"/>
    <w:rsid w:val="0058788B"/>
    <w:rsid w:val="00587F9E"/>
    <w:rsid w:val="0059159F"/>
    <w:rsid w:val="00591CB3"/>
    <w:rsid w:val="00592AC7"/>
    <w:rsid w:val="00593119"/>
    <w:rsid w:val="005A09BA"/>
    <w:rsid w:val="005A29EA"/>
    <w:rsid w:val="005A4227"/>
    <w:rsid w:val="005A4C17"/>
    <w:rsid w:val="005A4DF4"/>
    <w:rsid w:val="005B0B73"/>
    <w:rsid w:val="005B1097"/>
    <w:rsid w:val="005B3616"/>
    <w:rsid w:val="005B55AD"/>
    <w:rsid w:val="005B62E7"/>
    <w:rsid w:val="005B6737"/>
    <w:rsid w:val="005C205B"/>
    <w:rsid w:val="005C4A1F"/>
    <w:rsid w:val="005C4E05"/>
    <w:rsid w:val="005C59AB"/>
    <w:rsid w:val="005C6A88"/>
    <w:rsid w:val="005D1BD7"/>
    <w:rsid w:val="005D2398"/>
    <w:rsid w:val="005D248F"/>
    <w:rsid w:val="005D7C0F"/>
    <w:rsid w:val="005D7C53"/>
    <w:rsid w:val="005E212B"/>
    <w:rsid w:val="005E3266"/>
    <w:rsid w:val="005E32B0"/>
    <w:rsid w:val="005E48E1"/>
    <w:rsid w:val="005E5491"/>
    <w:rsid w:val="005E76B1"/>
    <w:rsid w:val="005E79B0"/>
    <w:rsid w:val="005F0687"/>
    <w:rsid w:val="005F1427"/>
    <w:rsid w:val="005F2E8D"/>
    <w:rsid w:val="005F3B5B"/>
    <w:rsid w:val="00601568"/>
    <w:rsid w:val="006022B0"/>
    <w:rsid w:val="00602334"/>
    <w:rsid w:val="006026F3"/>
    <w:rsid w:val="00603291"/>
    <w:rsid w:val="006066F0"/>
    <w:rsid w:val="00610248"/>
    <w:rsid w:val="00611B95"/>
    <w:rsid w:val="00613B9C"/>
    <w:rsid w:val="00614535"/>
    <w:rsid w:val="00615534"/>
    <w:rsid w:val="0061582C"/>
    <w:rsid w:val="00615B6D"/>
    <w:rsid w:val="00616EDC"/>
    <w:rsid w:val="0062031D"/>
    <w:rsid w:val="00622042"/>
    <w:rsid w:val="00626642"/>
    <w:rsid w:val="00633646"/>
    <w:rsid w:val="0063391B"/>
    <w:rsid w:val="00636729"/>
    <w:rsid w:val="00640E4F"/>
    <w:rsid w:val="006423BA"/>
    <w:rsid w:val="006449AF"/>
    <w:rsid w:val="00646FA0"/>
    <w:rsid w:val="00647413"/>
    <w:rsid w:val="00647781"/>
    <w:rsid w:val="006504FB"/>
    <w:rsid w:val="00650A84"/>
    <w:rsid w:val="0065127B"/>
    <w:rsid w:val="0065457B"/>
    <w:rsid w:val="00655802"/>
    <w:rsid w:val="00656722"/>
    <w:rsid w:val="00656E7F"/>
    <w:rsid w:val="00660B5F"/>
    <w:rsid w:val="00662216"/>
    <w:rsid w:val="00665044"/>
    <w:rsid w:val="0066619B"/>
    <w:rsid w:val="00667CEB"/>
    <w:rsid w:val="00667D7E"/>
    <w:rsid w:val="0067069D"/>
    <w:rsid w:val="00673A41"/>
    <w:rsid w:val="00673F6A"/>
    <w:rsid w:val="00674B97"/>
    <w:rsid w:val="00675836"/>
    <w:rsid w:val="006760A3"/>
    <w:rsid w:val="00677321"/>
    <w:rsid w:val="00677DB0"/>
    <w:rsid w:val="0068071B"/>
    <w:rsid w:val="006827EE"/>
    <w:rsid w:val="00683FF6"/>
    <w:rsid w:val="00684518"/>
    <w:rsid w:val="0068532B"/>
    <w:rsid w:val="00690039"/>
    <w:rsid w:val="006906DE"/>
    <w:rsid w:val="00691EC4"/>
    <w:rsid w:val="00693EC6"/>
    <w:rsid w:val="00695222"/>
    <w:rsid w:val="006A034B"/>
    <w:rsid w:val="006A0814"/>
    <w:rsid w:val="006A1058"/>
    <w:rsid w:val="006A27BC"/>
    <w:rsid w:val="006A2C67"/>
    <w:rsid w:val="006A2EB9"/>
    <w:rsid w:val="006A55B8"/>
    <w:rsid w:val="006A5F63"/>
    <w:rsid w:val="006B04C2"/>
    <w:rsid w:val="006B05D3"/>
    <w:rsid w:val="006B3F33"/>
    <w:rsid w:val="006B6BA9"/>
    <w:rsid w:val="006B7B79"/>
    <w:rsid w:val="006C1F33"/>
    <w:rsid w:val="006C56FC"/>
    <w:rsid w:val="006D1E27"/>
    <w:rsid w:val="006D4591"/>
    <w:rsid w:val="006D530D"/>
    <w:rsid w:val="006E2998"/>
    <w:rsid w:val="006E337A"/>
    <w:rsid w:val="006E502A"/>
    <w:rsid w:val="006E6263"/>
    <w:rsid w:val="006F0DA2"/>
    <w:rsid w:val="006F228A"/>
    <w:rsid w:val="006F5C68"/>
    <w:rsid w:val="00706AB6"/>
    <w:rsid w:val="00714DEC"/>
    <w:rsid w:val="0071504C"/>
    <w:rsid w:val="00721680"/>
    <w:rsid w:val="007217FC"/>
    <w:rsid w:val="00724BFA"/>
    <w:rsid w:val="00730ACB"/>
    <w:rsid w:val="00731ACC"/>
    <w:rsid w:val="00740B10"/>
    <w:rsid w:val="00744044"/>
    <w:rsid w:val="00744CA2"/>
    <w:rsid w:val="00746FA0"/>
    <w:rsid w:val="0075265E"/>
    <w:rsid w:val="00755182"/>
    <w:rsid w:val="00760585"/>
    <w:rsid w:val="007616D6"/>
    <w:rsid w:val="0076211B"/>
    <w:rsid w:val="00762A74"/>
    <w:rsid w:val="00763237"/>
    <w:rsid w:val="007637A3"/>
    <w:rsid w:val="0076380D"/>
    <w:rsid w:val="00765366"/>
    <w:rsid w:val="00771236"/>
    <w:rsid w:val="00771F0B"/>
    <w:rsid w:val="00772856"/>
    <w:rsid w:val="00772A07"/>
    <w:rsid w:val="00772CE4"/>
    <w:rsid w:val="00774675"/>
    <w:rsid w:val="007746EE"/>
    <w:rsid w:val="007830D7"/>
    <w:rsid w:val="00783F37"/>
    <w:rsid w:val="0078588B"/>
    <w:rsid w:val="007864F4"/>
    <w:rsid w:val="00786F03"/>
    <w:rsid w:val="0079078A"/>
    <w:rsid w:val="00790AFC"/>
    <w:rsid w:val="00791171"/>
    <w:rsid w:val="00792B76"/>
    <w:rsid w:val="007937D9"/>
    <w:rsid w:val="007947D0"/>
    <w:rsid w:val="007A0440"/>
    <w:rsid w:val="007A060A"/>
    <w:rsid w:val="007A14F6"/>
    <w:rsid w:val="007A3E35"/>
    <w:rsid w:val="007A3F64"/>
    <w:rsid w:val="007A4E33"/>
    <w:rsid w:val="007A7D62"/>
    <w:rsid w:val="007B03C5"/>
    <w:rsid w:val="007B0A97"/>
    <w:rsid w:val="007B292D"/>
    <w:rsid w:val="007B2ACF"/>
    <w:rsid w:val="007B3D63"/>
    <w:rsid w:val="007B51BE"/>
    <w:rsid w:val="007B5E7A"/>
    <w:rsid w:val="007B7AA9"/>
    <w:rsid w:val="007C2962"/>
    <w:rsid w:val="007C33DC"/>
    <w:rsid w:val="007C6493"/>
    <w:rsid w:val="007C7717"/>
    <w:rsid w:val="007D1CD2"/>
    <w:rsid w:val="007D1EB0"/>
    <w:rsid w:val="007D3DC2"/>
    <w:rsid w:val="007D4442"/>
    <w:rsid w:val="007D4567"/>
    <w:rsid w:val="007D54BD"/>
    <w:rsid w:val="007D5542"/>
    <w:rsid w:val="007D71BD"/>
    <w:rsid w:val="007E12E9"/>
    <w:rsid w:val="007E291D"/>
    <w:rsid w:val="007E36BA"/>
    <w:rsid w:val="007E47E8"/>
    <w:rsid w:val="007F1C5C"/>
    <w:rsid w:val="007F2B9E"/>
    <w:rsid w:val="007F2F1D"/>
    <w:rsid w:val="007F52B5"/>
    <w:rsid w:val="007F5834"/>
    <w:rsid w:val="00800104"/>
    <w:rsid w:val="0080317D"/>
    <w:rsid w:val="00803EA1"/>
    <w:rsid w:val="008048B3"/>
    <w:rsid w:val="00804A8C"/>
    <w:rsid w:val="00804D88"/>
    <w:rsid w:val="00806B01"/>
    <w:rsid w:val="00807A55"/>
    <w:rsid w:val="00810C9A"/>
    <w:rsid w:val="00812C4F"/>
    <w:rsid w:val="00812FBE"/>
    <w:rsid w:val="0081382B"/>
    <w:rsid w:val="008144D7"/>
    <w:rsid w:val="00814686"/>
    <w:rsid w:val="00816A96"/>
    <w:rsid w:val="008221DA"/>
    <w:rsid w:val="008262A5"/>
    <w:rsid w:val="00833EF2"/>
    <w:rsid w:val="008348BE"/>
    <w:rsid w:val="0083499D"/>
    <w:rsid w:val="0083524B"/>
    <w:rsid w:val="0083673E"/>
    <w:rsid w:val="0083736B"/>
    <w:rsid w:val="00840BB1"/>
    <w:rsid w:val="00841816"/>
    <w:rsid w:val="0084226B"/>
    <w:rsid w:val="00843310"/>
    <w:rsid w:val="00845390"/>
    <w:rsid w:val="00846176"/>
    <w:rsid w:val="008566E4"/>
    <w:rsid w:val="008612D3"/>
    <w:rsid w:val="008628AD"/>
    <w:rsid w:val="00864318"/>
    <w:rsid w:val="00866B93"/>
    <w:rsid w:val="00866D6C"/>
    <w:rsid w:val="008708D0"/>
    <w:rsid w:val="0087303C"/>
    <w:rsid w:val="008733F6"/>
    <w:rsid w:val="008734B0"/>
    <w:rsid w:val="008748E9"/>
    <w:rsid w:val="00876B52"/>
    <w:rsid w:val="00883F3A"/>
    <w:rsid w:val="008866CA"/>
    <w:rsid w:val="008869A4"/>
    <w:rsid w:val="00887923"/>
    <w:rsid w:val="008916AC"/>
    <w:rsid w:val="008928A3"/>
    <w:rsid w:val="00893C25"/>
    <w:rsid w:val="00894DB1"/>
    <w:rsid w:val="0089726A"/>
    <w:rsid w:val="008A2AC4"/>
    <w:rsid w:val="008A5DA9"/>
    <w:rsid w:val="008A758D"/>
    <w:rsid w:val="008B1F45"/>
    <w:rsid w:val="008B288F"/>
    <w:rsid w:val="008B2B16"/>
    <w:rsid w:val="008B3607"/>
    <w:rsid w:val="008B5EE0"/>
    <w:rsid w:val="008B6732"/>
    <w:rsid w:val="008C18F2"/>
    <w:rsid w:val="008C33F2"/>
    <w:rsid w:val="008C5E99"/>
    <w:rsid w:val="008C73CA"/>
    <w:rsid w:val="008C792C"/>
    <w:rsid w:val="008D01CC"/>
    <w:rsid w:val="008D14C2"/>
    <w:rsid w:val="008D1555"/>
    <w:rsid w:val="008D1CDC"/>
    <w:rsid w:val="008D5959"/>
    <w:rsid w:val="008D5F3D"/>
    <w:rsid w:val="008E010B"/>
    <w:rsid w:val="008E1B9B"/>
    <w:rsid w:val="008E1C49"/>
    <w:rsid w:val="008E2BA8"/>
    <w:rsid w:val="008E3A7D"/>
    <w:rsid w:val="008E4EA0"/>
    <w:rsid w:val="008E54D3"/>
    <w:rsid w:val="008E6A97"/>
    <w:rsid w:val="008F25DE"/>
    <w:rsid w:val="008F2C88"/>
    <w:rsid w:val="0090004D"/>
    <w:rsid w:val="009033E7"/>
    <w:rsid w:val="00904318"/>
    <w:rsid w:val="00910D8E"/>
    <w:rsid w:val="00910FCA"/>
    <w:rsid w:val="0091153D"/>
    <w:rsid w:val="009119B9"/>
    <w:rsid w:val="00911B1B"/>
    <w:rsid w:val="009148BB"/>
    <w:rsid w:val="0091517B"/>
    <w:rsid w:val="009173BD"/>
    <w:rsid w:val="009210D8"/>
    <w:rsid w:val="00921A88"/>
    <w:rsid w:val="0092256C"/>
    <w:rsid w:val="00923F45"/>
    <w:rsid w:val="00925255"/>
    <w:rsid w:val="00925A9D"/>
    <w:rsid w:val="0092669D"/>
    <w:rsid w:val="00927764"/>
    <w:rsid w:val="00933714"/>
    <w:rsid w:val="009406D6"/>
    <w:rsid w:val="00944294"/>
    <w:rsid w:val="0094469D"/>
    <w:rsid w:val="00944A87"/>
    <w:rsid w:val="00945585"/>
    <w:rsid w:val="0094572B"/>
    <w:rsid w:val="00950EF7"/>
    <w:rsid w:val="0095272F"/>
    <w:rsid w:val="0095467A"/>
    <w:rsid w:val="00965712"/>
    <w:rsid w:val="009669CE"/>
    <w:rsid w:val="00981A23"/>
    <w:rsid w:val="00983295"/>
    <w:rsid w:val="00983608"/>
    <w:rsid w:val="00985B92"/>
    <w:rsid w:val="00986130"/>
    <w:rsid w:val="00986F73"/>
    <w:rsid w:val="00987305"/>
    <w:rsid w:val="009873CF"/>
    <w:rsid w:val="00987E5D"/>
    <w:rsid w:val="009918AB"/>
    <w:rsid w:val="009948C8"/>
    <w:rsid w:val="00996B6E"/>
    <w:rsid w:val="00997893"/>
    <w:rsid w:val="009A027E"/>
    <w:rsid w:val="009A18AB"/>
    <w:rsid w:val="009A21D8"/>
    <w:rsid w:val="009A3585"/>
    <w:rsid w:val="009A5792"/>
    <w:rsid w:val="009B006E"/>
    <w:rsid w:val="009B2A21"/>
    <w:rsid w:val="009B2DB8"/>
    <w:rsid w:val="009B2EB6"/>
    <w:rsid w:val="009B651A"/>
    <w:rsid w:val="009C02FD"/>
    <w:rsid w:val="009C1700"/>
    <w:rsid w:val="009C1A47"/>
    <w:rsid w:val="009C1B35"/>
    <w:rsid w:val="009C4040"/>
    <w:rsid w:val="009D06D4"/>
    <w:rsid w:val="009D19A0"/>
    <w:rsid w:val="009D1A7E"/>
    <w:rsid w:val="009D3A10"/>
    <w:rsid w:val="009D3B7B"/>
    <w:rsid w:val="009D46D2"/>
    <w:rsid w:val="009D5AFC"/>
    <w:rsid w:val="009D664E"/>
    <w:rsid w:val="009E01E5"/>
    <w:rsid w:val="009E3B15"/>
    <w:rsid w:val="009E56F3"/>
    <w:rsid w:val="009E6A7F"/>
    <w:rsid w:val="009F035E"/>
    <w:rsid w:val="009F3093"/>
    <w:rsid w:val="009F339E"/>
    <w:rsid w:val="009F3ABC"/>
    <w:rsid w:val="009F5118"/>
    <w:rsid w:val="009F59C3"/>
    <w:rsid w:val="00A0135F"/>
    <w:rsid w:val="00A013FE"/>
    <w:rsid w:val="00A02453"/>
    <w:rsid w:val="00A03E13"/>
    <w:rsid w:val="00A059F1"/>
    <w:rsid w:val="00A05D69"/>
    <w:rsid w:val="00A071B8"/>
    <w:rsid w:val="00A10FD3"/>
    <w:rsid w:val="00A1117F"/>
    <w:rsid w:val="00A20775"/>
    <w:rsid w:val="00A22D23"/>
    <w:rsid w:val="00A306DD"/>
    <w:rsid w:val="00A32139"/>
    <w:rsid w:val="00A321F5"/>
    <w:rsid w:val="00A33A45"/>
    <w:rsid w:val="00A351CA"/>
    <w:rsid w:val="00A35ACD"/>
    <w:rsid w:val="00A364CE"/>
    <w:rsid w:val="00A432C0"/>
    <w:rsid w:val="00A47425"/>
    <w:rsid w:val="00A51256"/>
    <w:rsid w:val="00A53E8E"/>
    <w:rsid w:val="00A57C46"/>
    <w:rsid w:val="00A638FA"/>
    <w:rsid w:val="00A66A2B"/>
    <w:rsid w:val="00A71345"/>
    <w:rsid w:val="00A73CDE"/>
    <w:rsid w:val="00A742A9"/>
    <w:rsid w:val="00A762A1"/>
    <w:rsid w:val="00A776E5"/>
    <w:rsid w:val="00A77962"/>
    <w:rsid w:val="00A80713"/>
    <w:rsid w:val="00A81B2D"/>
    <w:rsid w:val="00A81D19"/>
    <w:rsid w:val="00A91DE4"/>
    <w:rsid w:val="00A92117"/>
    <w:rsid w:val="00A93E3F"/>
    <w:rsid w:val="00A9757D"/>
    <w:rsid w:val="00A978D8"/>
    <w:rsid w:val="00AA2D4D"/>
    <w:rsid w:val="00AA4C0D"/>
    <w:rsid w:val="00AA6E32"/>
    <w:rsid w:val="00AB0EBE"/>
    <w:rsid w:val="00AB3575"/>
    <w:rsid w:val="00AB404E"/>
    <w:rsid w:val="00AB40FB"/>
    <w:rsid w:val="00AB4E22"/>
    <w:rsid w:val="00AB64F1"/>
    <w:rsid w:val="00AC17A1"/>
    <w:rsid w:val="00AC314B"/>
    <w:rsid w:val="00AC3DD8"/>
    <w:rsid w:val="00AC5E4C"/>
    <w:rsid w:val="00AD0D33"/>
    <w:rsid w:val="00AD513D"/>
    <w:rsid w:val="00AD5585"/>
    <w:rsid w:val="00AD5FA2"/>
    <w:rsid w:val="00AD7190"/>
    <w:rsid w:val="00AE07DB"/>
    <w:rsid w:val="00AE444F"/>
    <w:rsid w:val="00AF0312"/>
    <w:rsid w:val="00AF16B9"/>
    <w:rsid w:val="00AF3CED"/>
    <w:rsid w:val="00AF41CA"/>
    <w:rsid w:val="00AF429D"/>
    <w:rsid w:val="00AF4616"/>
    <w:rsid w:val="00AF57A8"/>
    <w:rsid w:val="00AF5B21"/>
    <w:rsid w:val="00B0239C"/>
    <w:rsid w:val="00B02915"/>
    <w:rsid w:val="00B05813"/>
    <w:rsid w:val="00B0629C"/>
    <w:rsid w:val="00B1027B"/>
    <w:rsid w:val="00B12557"/>
    <w:rsid w:val="00B1326A"/>
    <w:rsid w:val="00B13779"/>
    <w:rsid w:val="00B13F5D"/>
    <w:rsid w:val="00B15AF9"/>
    <w:rsid w:val="00B16B51"/>
    <w:rsid w:val="00B23529"/>
    <w:rsid w:val="00B247A6"/>
    <w:rsid w:val="00B24D70"/>
    <w:rsid w:val="00B25163"/>
    <w:rsid w:val="00B26937"/>
    <w:rsid w:val="00B26ACB"/>
    <w:rsid w:val="00B332E5"/>
    <w:rsid w:val="00B3392E"/>
    <w:rsid w:val="00B37532"/>
    <w:rsid w:val="00B40D2A"/>
    <w:rsid w:val="00B4345D"/>
    <w:rsid w:val="00B44239"/>
    <w:rsid w:val="00B4457A"/>
    <w:rsid w:val="00B45B31"/>
    <w:rsid w:val="00B47FBB"/>
    <w:rsid w:val="00B50E16"/>
    <w:rsid w:val="00B5426C"/>
    <w:rsid w:val="00B544DF"/>
    <w:rsid w:val="00B551D1"/>
    <w:rsid w:val="00B55B0C"/>
    <w:rsid w:val="00B607E5"/>
    <w:rsid w:val="00B613E1"/>
    <w:rsid w:val="00B62D8A"/>
    <w:rsid w:val="00B62DD8"/>
    <w:rsid w:val="00B67764"/>
    <w:rsid w:val="00B70140"/>
    <w:rsid w:val="00B7316C"/>
    <w:rsid w:val="00B75120"/>
    <w:rsid w:val="00B751C8"/>
    <w:rsid w:val="00B775A9"/>
    <w:rsid w:val="00B81023"/>
    <w:rsid w:val="00B825D9"/>
    <w:rsid w:val="00B82FD3"/>
    <w:rsid w:val="00B91A4A"/>
    <w:rsid w:val="00B92393"/>
    <w:rsid w:val="00B92A33"/>
    <w:rsid w:val="00B92BE6"/>
    <w:rsid w:val="00B93049"/>
    <w:rsid w:val="00B937AD"/>
    <w:rsid w:val="00B9429A"/>
    <w:rsid w:val="00B943BE"/>
    <w:rsid w:val="00B94904"/>
    <w:rsid w:val="00B94ED2"/>
    <w:rsid w:val="00B95323"/>
    <w:rsid w:val="00B95548"/>
    <w:rsid w:val="00BA3023"/>
    <w:rsid w:val="00BA41D2"/>
    <w:rsid w:val="00BA4734"/>
    <w:rsid w:val="00BA684C"/>
    <w:rsid w:val="00BA7AFA"/>
    <w:rsid w:val="00BA7BAE"/>
    <w:rsid w:val="00BB105B"/>
    <w:rsid w:val="00BB3851"/>
    <w:rsid w:val="00BB44A7"/>
    <w:rsid w:val="00BB5C89"/>
    <w:rsid w:val="00BB70FD"/>
    <w:rsid w:val="00BC08F5"/>
    <w:rsid w:val="00BC095D"/>
    <w:rsid w:val="00BC0A3A"/>
    <w:rsid w:val="00BC147E"/>
    <w:rsid w:val="00BC3D78"/>
    <w:rsid w:val="00BC69EE"/>
    <w:rsid w:val="00BD432C"/>
    <w:rsid w:val="00BD5487"/>
    <w:rsid w:val="00BE093D"/>
    <w:rsid w:val="00BE1942"/>
    <w:rsid w:val="00BE1989"/>
    <w:rsid w:val="00BE1CBC"/>
    <w:rsid w:val="00BE1FE1"/>
    <w:rsid w:val="00BE4160"/>
    <w:rsid w:val="00BE45B9"/>
    <w:rsid w:val="00BE5490"/>
    <w:rsid w:val="00BE6779"/>
    <w:rsid w:val="00BE7F48"/>
    <w:rsid w:val="00BF023F"/>
    <w:rsid w:val="00BF275E"/>
    <w:rsid w:val="00BF3DAA"/>
    <w:rsid w:val="00BF5024"/>
    <w:rsid w:val="00BF69A1"/>
    <w:rsid w:val="00C01722"/>
    <w:rsid w:val="00C0247A"/>
    <w:rsid w:val="00C05841"/>
    <w:rsid w:val="00C10756"/>
    <w:rsid w:val="00C10D87"/>
    <w:rsid w:val="00C1367E"/>
    <w:rsid w:val="00C15A10"/>
    <w:rsid w:val="00C21BF2"/>
    <w:rsid w:val="00C21D6D"/>
    <w:rsid w:val="00C226F2"/>
    <w:rsid w:val="00C24D97"/>
    <w:rsid w:val="00C265F8"/>
    <w:rsid w:val="00C307AA"/>
    <w:rsid w:val="00C40B5F"/>
    <w:rsid w:val="00C458A5"/>
    <w:rsid w:val="00C502CA"/>
    <w:rsid w:val="00C5526D"/>
    <w:rsid w:val="00C57416"/>
    <w:rsid w:val="00C60AAF"/>
    <w:rsid w:val="00C60D64"/>
    <w:rsid w:val="00C627C9"/>
    <w:rsid w:val="00C63EEF"/>
    <w:rsid w:val="00C64C81"/>
    <w:rsid w:val="00C64C9F"/>
    <w:rsid w:val="00C67511"/>
    <w:rsid w:val="00C75A5F"/>
    <w:rsid w:val="00C818DF"/>
    <w:rsid w:val="00C81BD7"/>
    <w:rsid w:val="00C837B2"/>
    <w:rsid w:val="00C91B61"/>
    <w:rsid w:val="00C93190"/>
    <w:rsid w:val="00C931E2"/>
    <w:rsid w:val="00C93978"/>
    <w:rsid w:val="00C97B61"/>
    <w:rsid w:val="00CA07E9"/>
    <w:rsid w:val="00CA3F2C"/>
    <w:rsid w:val="00CA7BF7"/>
    <w:rsid w:val="00CA7CDB"/>
    <w:rsid w:val="00CB7CF1"/>
    <w:rsid w:val="00CC0016"/>
    <w:rsid w:val="00CC0A92"/>
    <w:rsid w:val="00CC101C"/>
    <w:rsid w:val="00CC1DE3"/>
    <w:rsid w:val="00CC227A"/>
    <w:rsid w:val="00CC248F"/>
    <w:rsid w:val="00CC46A8"/>
    <w:rsid w:val="00CD0C53"/>
    <w:rsid w:val="00CD71C2"/>
    <w:rsid w:val="00CD7355"/>
    <w:rsid w:val="00CD7609"/>
    <w:rsid w:val="00CD7A98"/>
    <w:rsid w:val="00CE0623"/>
    <w:rsid w:val="00CE0B10"/>
    <w:rsid w:val="00CE4980"/>
    <w:rsid w:val="00CE5B5A"/>
    <w:rsid w:val="00CE6348"/>
    <w:rsid w:val="00CE6B27"/>
    <w:rsid w:val="00CE73F6"/>
    <w:rsid w:val="00CF27A4"/>
    <w:rsid w:val="00CF57F2"/>
    <w:rsid w:val="00CF698A"/>
    <w:rsid w:val="00CF6E38"/>
    <w:rsid w:val="00D008CB"/>
    <w:rsid w:val="00D00FF6"/>
    <w:rsid w:val="00D0168D"/>
    <w:rsid w:val="00D044F0"/>
    <w:rsid w:val="00D1058B"/>
    <w:rsid w:val="00D1209E"/>
    <w:rsid w:val="00D14CA3"/>
    <w:rsid w:val="00D15229"/>
    <w:rsid w:val="00D1654A"/>
    <w:rsid w:val="00D16DDD"/>
    <w:rsid w:val="00D17138"/>
    <w:rsid w:val="00D23252"/>
    <w:rsid w:val="00D26B52"/>
    <w:rsid w:val="00D27BAB"/>
    <w:rsid w:val="00D371DF"/>
    <w:rsid w:val="00D37548"/>
    <w:rsid w:val="00D40857"/>
    <w:rsid w:val="00D43EDA"/>
    <w:rsid w:val="00D4417E"/>
    <w:rsid w:val="00D45847"/>
    <w:rsid w:val="00D46DA7"/>
    <w:rsid w:val="00D47C86"/>
    <w:rsid w:val="00D525AB"/>
    <w:rsid w:val="00D5783D"/>
    <w:rsid w:val="00D578AB"/>
    <w:rsid w:val="00D65461"/>
    <w:rsid w:val="00D70E63"/>
    <w:rsid w:val="00D738D5"/>
    <w:rsid w:val="00D82BA3"/>
    <w:rsid w:val="00D83830"/>
    <w:rsid w:val="00D92586"/>
    <w:rsid w:val="00D94617"/>
    <w:rsid w:val="00D948E2"/>
    <w:rsid w:val="00D95F9D"/>
    <w:rsid w:val="00D979FD"/>
    <w:rsid w:val="00D97AF3"/>
    <w:rsid w:val="00DA3348"/>
    <w:rsid w:val="00DA4DDD"/>
    <w:rsid w:val="00DA5E24"/>
    <w:rsid w:val="00DA64D4"/>
    <w:rsid w:val="00DA699A"/>
    <w:rsid w:val="00DB0DB8"/>
    <w:rsid w:val="00DB33A1"/>
    <w:rsid w:val="00DB442A"/>
    <w:rsid w:val="00DB5BC9"/>
    <w:rsid w:val="00DB6744"/>
    <w:rsid w:val="00DC06F2"/>
    <w:rsid w:val="00DC72DA"/>
    <w:rsid w:val="00DC7479"/>
    <w:rsid w:val="00DC7928"/>
    <w:rsid w:val="00DC7C17"/>
    <w:rsid w:val="00DD12DF"/>
    <w:rsid w:val="00DD1873"/>
    <w:rsid w:val="00DD3526"/>
    <w:rsid w:val="00DD3BDA"/>
    <w:rsid w:val="00DD6D24"/>
    <w:rsid w:val="00DD791B"/>
    <w:rsid w:val="00DD7FB2"/>
    <w:rsid w:val="00DE22ED"/>
    <w:rsid w:val="00DE45FF"/>
    <w:rsid w:val="00DE514B"/>
    <w:rsid w:val="00DE6EB7"/>
    <w:rsid w:val="00DF2128"/>
    <w:rsid w:val="00DF3715"/>
    <w:rsid w:val="00DF57A8"/>
    <w:rsid w:val="00DF6BFD"/>
    <w:rsid w:val="00DF7288"/>
    <w:rsid w:val="00E0277B"/>
    <w:rsid w:val="00E03B23"/>
    <w:rsid w:val="00E10868"/>
    <w:rsid w:val="00E10890"/>
    <w:rsid w:val="00E12676"/>
    <w:rsid w:val="00E1756D"/>
    <w:rsid w:val="00E20466"/>
    <w:rsid w:val="00E20FF2"/>
    <w:rsid w:val="00E21192"/>
    <w:rsid w:val="00E217B9"/>
    <w:rsid w:val="00E23E37"/>
    <w:rsid w:val="00E25FE4"/>
    <w:rsid w:val="00E30B66"/>
    <w:rsid w:val="00E3179D"/>
    <w:rsid w:val="00E317DA"/>
    <w:rsid w:val="00E32324"/>
    <w:rsid w:val="00E34398"/>
    <w:rsid w:val="00E35317"/>
    <w:rsid w:val="00E363C3"/>
    <w:rsid w:val="00E379F3"/>
    <w:rsid w:val="00E44C6A"/>
    <w:rsid w:val="00E52BED"/>
    <w:rsid w:val="00E545E3"/>
    <w:rsid w:val="00E5627B"/>
    <w:rsid w:val="00E57629"/>
    <w:rsid w:val="00E61E85"/>
    <w:rsid w:val="00E64A8F"/>
    <w:rsid w:val="00E65046"/>
    <w:rsid w:val="00E65862"/>
    <w:rsid w:val="00E676DA"/>
    <w:rsid w:val="00E677D5"/>
    <w:rsid w:val="00E71BF8"/>
    <w:rsid w:val="00E77B4C"/>
    <w:rsid w:val="00E82675"/>
    <w:rsid w:val="00E8338B"/>
    <w:rsid w:val="00E8475D"/>
    <w:rsid w:val="00E84E38"/>
    <w:rsid w:val="00E87E1E"/>
    <w:rsid w:val="00E92128"/>
    <w:rsid w:val="00E923C2"/>
    <w:rsid w:val="00E92D2D"/>
    <w:rsid w:val="00E97440"/>
    <w:rsid w:val="00EA0FDA"/>
    <w:rsid w:val="00EA1720"/>
    <w:rsid w:val="00EA2DA9"/>
    <w:rsid w:val="00EA56A3"/>
    <w:rsid w:val="00EB31B1"/>
    <w:rsid w:val="00EB3D53"/>
    <w:rsid w:val="00EB5807"/>
    <w:rsid w:val="00EB6658"/>
    <w:rsid w:val="00EC2BEF"/>
    <w:rsid w:val="00EC442C"/>
    <w:rsid w:val="00EC7A38"/>
    <w:rsid w:val="00ED1FA4"/>
    <w:rsid w:val="00ED5A86"/>
    <w:rsid w:val="00ED624C"/>
    <w:rsid w:val="00ED6884"/>
    <w:rsid w:val="00ED7AFC"/>
    <w:rsid w:val="00EE458B"/>
    <w:rsid w:val="00EE45E8"/>
    <w:rsid w:val="00EE6567"/>
    <w:rsid w:val="00EF040E"/>
    <w:rsid w:val="00EF07D2"/>
    <w:rsid w:val="00EF1EB3"/>
    <w:rsid w:val="00EF2C69"/>
    <w:rsid w:val="00EF49A1"/>
    <w:rsid w:val="00EF5006"/>
    <w:rsid w:val="00EF558A"/>
    <w:rsid w:val="00EF5F64"/>
    <w:rsid w:val="00F00333"/>
    <w:rsid w:val="00F00B27"/>
    <w:rsid w:val="00F0101B"/>
    <w:rsid w:val="00F04156"/>
    <w:rsid w:val="00F04B3F"/>
    <w:rsid w:val="00F0733A"/>
    <w:rsid w:val="00F07C06"/>
    <w:rsid w:val="00F1175B"/>
    <w:rsid w:val="00F1262E"/>
    <w:rsid w:val="00F145B7"/>
    <w:rsid w:val="00F20351"/>
    <w:rsid w:val="00F225BD"/>
    <w:rsid w:val="00F24B61"/>
    <w:rsid w:val="00F256F8"/>
    <w:rsid w:val="00F35958"/>
    <w:rsid w:val="00F3604A"/>
    <w:rsid w:val="00F3632C"/>
    <w:rsid w:val="00F37A62"/>
    <w:rsid w:val="00F41461"/>
    <w:rsid w:val="00F4507D"/>
    <w:rsid w:val="00F458FA"/>
    <w:rsid w:val="00F52A5F"/>
    <w:rsid w:val="00F55399"/>
    <w:rsid w:val="00F570CA"/>
    <w:rsid w:val="00F57B9D"/>
    <w:rsid w:val="00F606DC"/>
    <w:rsid w:val="00F64307"/>
    <w:rsid w:val="00F664A6"/>
    <w:rsid w:val="00F66F7A"/>
    <w:rsid w:val="00F7170E"/>
    <w:rsid w:val="00F72316"/>
    <w:rsid w:val="00F75D0F"/>
    <w:rsid w:val="00F809AF"/>
    <w:rsid w:val="00F80F11"/>
    <w:rsid w:val="00F84CA5"/>
    <w:rsid w:val="00F85E78"/>
    <w:rsid w:val="00F877C2"/>
    <w:rsid w:val="00F87A10"/>
    <w:rsid w:val="00F90151"/>
    <w:rsid w:val="00F90C2C"/>
    <w:rsid w:val="00F90E87"/>
    <w:rsid w:val="00F92B62"/>
    <w:rsid w:val="00F95F4C"/>
    <w:rsid w:val="00F95FE9"/>
    <w:rsid w:val="00FA04F8"/>
    <w:rsid w:val="00FA0EEB"/>
    <w:rsid w:val="00FA15E7"/>
    <w:rsid w:val="00FA1EDF"/>
    <w:rsid w:val="00FA41B7"/>
    <w:rsid w:val="00FB5922"/>
    <w:rsid w:val="00FB7501"/>
    <w:rsid w:val="00FC07A3"/>
    <w:rsid w:val="00FC3344"/>
    <w:rsid w:val="00FC3586"/>
    <w:rsid w:val="00FC384F"/>
    <w:rsid w:val="00FD1416"/>
    <w:rsid w:val="00FD5707"/>
    <w:rsid w:val="00FD668A"/>
    <w:rsid w:val="00FD6AC4"/>
    <w:rsid w:val="00FE484E"/>
    <w:rsid w:val="00FE6071"/>
    <w:rsid w:val="00FE70EB"/>
    <w:rsid w:val="00FE72F0"/>
    <w:rsid w:val="00FE78FA"/>
    <w:rsid w:val="00FE7BFE"/>
    <w:rsid w:val="00FF26DD"/>
    <w:rsid w:val="00FF320A"/>
    <w:rsid w:val="00FF474D"/>
    <w:rsid w:val="00FF50FC"/>
    <w:rsid w:val="00FF6C30"/>
    <w:rsid w:val="00FF74B3"/>
    <w:rsid w:val="00FF78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7F8731"/>
  <w15:chartTrackingRefBased/>
  <w15:docId w15:val="{3C42C542-78BB-475D-A1D4-EABAA3DC4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basedOn w:val="Normal"/>
    <w:next w:val="BodyText"/>
    <w:autoRedefine/>
    <w:qFormat/>
    <w:rsid w:val="00D1654A"/>
    <w:pPr>
      <w:widowControl w:val="0"/>
      <w:numPr>
        <w:numId w:val="29"/>
      </w:numPr>
      <w:spacing w:before="720" w:after="480"/>
      <w:outlineLvl w:val="0"/>
    </w:pPr>
    <w:rPr>
      <w:caps/>
      <w:kern w:val="28"/>
      <w:sz w:val="28"/>
    </w:rPr>
  </w:style>
  <w:style w:type="paragraph" w:styleId="Heading2">
    <w:name w:val="heading 2"/>
    <w:basedOn w:val="Normal"/>
    <w:next w:val="Normal"/>
    <w:autoRedefine/>
    <w:qFormat/>
    <w:rsid w:val="00706AB6"/>
    <w:pPr>
      <w:keepNext/>
      <w:numPr>
        <w:ilvl w:val="1"/>
        <w:numId w:val="29"/>
      </w:numPr>
      <w:spacing w:before="240" w:after="240"/>
      <w:outlineLvl w:val="1"/>
    </w:pPr>
  </w:style>
  <w:style w:type="paragraph" w:styleId="Heading3">
    <w:name w:val="heading 3"/>
    <w:basedOn w:val="Normal"/>
    <w:next w:val="Normal"/>
    <w:qFormat/>
    <w:pPr>
      <w:keepNext/>
      <w:numPr>
        <w:ilvl w:val="2"/>
        <w:numId w:val="29"/>
      </w:numPr>
      <w:spacing w:after="240"/>
      <w:outlineLvl w:val="2"/>
    </w:pPr>
    <w:rPr>
      <w:b/>
      <w:sz w:val="28"/>
    </w:rPr>
  </w:style>
  <w:style w:type="paragraph" w:styleId="Heading4">
    <w:name w:val="heading 4"/>
    <w:basedOn w:val="Normal"/>
    <w:next w:val="Normal"/>
    <w:qFormat/>
    <w:pPr>
      <w:keepNext/>
      <w:numPr>
        <w:ilvl w:val="3"/>
        <w:numId w:val="29"/>
      </w:numPr>
      <w:spacing w:after="240"/>
      <w:outlineLvl w:val="3"/>
    </w:pPr>
    <w:rPr>
      <w:b/>
      <w:i/>
    </w:rPr>
  </w:style>
  <w:style w:type="paragraph" w:styleId="Heading5">
    <w:name w:val="heading 5"/>
    <w:basedOn w:val="Normal"/>
    <w:next w:val="Normal"/>
    <w:qFormat/>
    <w:pPr>
      <w:keepNext/>
      <w:numPr>
        <w:ilvl w:val="4"/>
        <w:numId w:val="29"/>
      </w:numPr>
      <w:spacing w:after="60"/>
      <w:outlineLvl w:val="4"/>
    </w:pPr>
    <w:rPr>
      <w:i/>
    </w:rPr>
  </w:style>
  <w:style w:type="paragraph" w:styleId="Heading6">
    <w:name w:val="heading 6"/>
    <w:basedOn w:val="Normal"/>
    <w:next w:val="Normal"/>
    <w:qFormat/>
    <w:pPr>
      <w:keepNext/>
      <w:jc w:val="center"/>
      <w:outlineLvl w:val="5"/>
    </w:pPr>
    <w:rPr>
      <w:b/>
      <w:caps/>
      <w:sz w:val="32"/>
    </w:rPr>
  </w:style>
  <w:style w:type="paragraph" w:styleId="Heading7">
    <w:name w:val="heading 7"/>
    <w:basedOn w:val="Normal"/>
    <w:next w:val="Normal"/>
    <w:qFormat/>
    <w:pPr>
      <w:keepNext/>
      <w:tabs>
        <w:tab w:val="left" w:pos="0"/>
      </w:tabs>
      <w:suppressAutoHyphens/>
      <w:jc w:val="center"/>
      <w:outlineLvl w:val="6"/>
    </w:pPr>
    <w:rPr>
      <w:b/>
      <w:i/>
      <w:color w:val="000000"/>
      <w:sz w:val="40"/>
      <w:u w:val="single"/>
    </w:rPr>
  </w:style>
  <w:style w:type="paragraph" w:styleId="Heading8">
    <w:name w:val="heading 8"/>
    <w:basedOn w:val="Normal"/>
    <w:next w:val="Normal"/>
    <w:qFormat/>
    <w:pPr>
      <w:keepNext/>
      <w:jc w:val="center"/>
      <w:outlineLvl w:val="7"/>
    </w:pPr>
    <w:rPr>
      <w:b/>
      <w:caps/>
      <w:sz w:val="36"/>
    </w:rPr>
  </w:style>
  <w:style w:type="paragraph" w:styleId="Heading9">
    <w:name w:val="heading 9"/>
    <w:basedOn w:val="Normal"/>
    <w:next w:val="Normal"/>
    <w:qFormat/>
    <w:rsid w:val="000E1649"/>
    <w:pPr>
      <w:keepNext/>
      <w:jc w:val="center"/>
      <w:outlineLvl w:val="8"/>
    </w:pPr>
    <w:rPr>
      <w:cap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pPr>
  </w:style>
  <w:style w:type="paragraph" w:styleId="TOC6">
    <w:name w:val="toc 6"/>
    <w:basedOn w:val="Normal"/>
    <w:next w:val="Normal"/>
    <w:autoRedefine/>
    <w:uiPriority w:val="39"/>
    <w:pPr>
      <w:ind w:left="1200"/>
    </w:pPr>
  </w:style>
  <w:style w:type="paragraph" w:styleId="BodyText3">
    <w:name w:val="Body Text 3"/>
    <w:basedOn w:val="Normal"/>
    <w:pPr>
      <w:spacing w:after="240"/>
      <w:ind w:left="1440"/>
      <w:jc w:val="both"/>
    </w:pPr>
  </w:style>
  <w:style w:type="paragraph" w:styleId="Title">
    <w:name w:val="Title"/>
    <w:basedOn w:val="Normal"/>
    <w:qFormat/>
    <w:pPr>
      <w:jc w:val="center"/>
    </w:pPr>
    <w:rPr>
      <w:b/>
      <w:caps/>
      <w:sz w:val="32"/>
    </w:rPr>
  </w:style>
  <w:style w:type="paragraph" w:styleId="TOC1">
    <w:name w:val="toc 1"/>
    <w:basedOn w:val="Normal"/>
    <w:next w:val="Normal"/>
    <w:autoRedefine/>
    <w:uiPriority w:val="39"/>
    <w:rsid w:val="000E1649"/>
    <w:pPr>
      <w:spacing w:before="60"/>
      <w:outlineLvl w:val="0"/>
    </w:pPr>
    <w:rPr>
      <w:caps/>
      <w:noProof/>
      <w:szCs w:val="24"/>
    </w:rPr>
  </w:style>
  <w:style w:type="paragraph" w:styleId="TOC2">
    <w:name w:val="toc 2"/>
    <w:basedOn w:val="Normal"/>
    <w:next w:val="Normal"/>
    <w:uiPriority w:val="39"/>
    <w:rsid w:val="00762A74"/>
    <w:pPr>
      <w:tabs>
        <w:tab w:val="left" w:pos="720"/>
        <w:tab w:val="right" w:leader="dot" w:pos="9350"/>
      </w:tabs>
      <w:ind w:left="720" w:hanging="475"/>
      <w:jc w:val="both"/>
    </w:pPr>
    <w:rPr>
      <w:caps/>
      <w:noProof/>
    </w:rPr>
  </w:style>
  <w:style w:type="paragraph" w:styleId="TOC3">
    <w:name w:val="toc 3"/>
    <w:basedOn w:val="Normal"/>
    <w:next w:val="Normal"/>
    <w:autoRedefine/>
    <w:uiPriority w:val="39"/>
    <w:rsid w:val="00762A74"/>
    <w:pPr>
      <w:tabs>
        <w:tab w:val="left" w:pos="1200"/>
        <w:tab w:val="right" w:leader="dot" w:pos="9350"/>
      </w:tabs>
      <w:ind w:left="475"/>
      <w:outlineLvl w:val="2"/>
    </w:pPr>
    <w:rPr>
      <w:noProof/>
    </w:rPr>
  </w:style>
  <w:style w:type="paragraph" w:styleId="TOC4">
    <w:name w:val="toc 4"/>
    <w:basedOn w:val="Normal"/>
    <w:next w:val="Normal"/>
    <w:autoRedefine/>
    <w:uiPriority w:val="39"/>
    <w:rsid w:val="00762A74"/>
    <w:pPr>
      <w:tabs>
        <w:tab w:val="left" w:pos="1440"/>
        <w:tab w:val="right" w:leader="dot" w:pos="9350"/>
      </w:tabs>
      <w:ind w:left="720"/>
      <w:jc w:val="both"/>
      <w:outlineLvl w:val="3"/>
    </w:pPr>
    <w:rPr>
      <w:i/>
      <w:noProof/>
    </w:rPr>
  </w:style>
  <w:style w:type="paragraph" w:styleId="TOC5">
    <w:name w:val="toc 5"/>
    <w:basedOn w:val="Normal"/>
    <w:next w:val="Normal"/>
    <w:autoRedefine/>
    <w:uiPriority w:val="39"/>
    <w:pPr>
      <w:ind w:left="96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character" w:styleId="PageNumber">
    <w:name w:val="page number"/>
    <w:rPr>
      <w:rFonts w:ascii="Times New Roman" w:hAnsi="Times New Roman"/>
    </w:rPr>
  </w:style>
  <w:style w:type="paragraph" w:styleId="Footer">
    <w:name w:val="footer"/>
    <w:basedOn w:val="Normal"/>
    <w:link w:val="FooterChar"/>
    <w:uiPriority w:val="99"/>
    <w:pPr>
      <w:tabs>
        <w:tab w:val="center" w:pos="4320"/>
        <w:tab w:val="right" w:pos="8640"/>
      </w:tabs>
    </w:pPr>
    <w:rPr>
      <w:rFonts w:ascii="Arial" w:hAnsi="Arial"/>
      <w:color w:val="000000"/>
    </w:rPr>
  </w:style>
  <w:style w:type="paragraph" w:styleId="BodyText2">
    <w:name w:val="Body Text 2"/>
    <w:basedOn w:val="Normal"/>
    <w:pPr>
      <w:spacing w:after="240"/>
      <w:ind w:left="720"/>
    </w:pPr>
  </w:style>
  <w:style w:type="paragraph" w:styleId="TableofFigures">
    <w:name w:val="table of figures"/>
    <w:basedOn w:val="Normal"/>
    <w:next w:val="Normal"/>
    <w:uiPriority w:val="99"/>
    <w:rsid w:val="00B4345D"/>
    <w:pPr>
      <w:ind w:left="480" w:hanging="480"/>
    </w:pPr>
  </w:style>
  <w:style w:type="paragraph" w:customStyle="1" w:styleId="Equation">
    <w:name w:val="Equation"/>
    <w:basedOn w:val="Normal"/>
    <w:rsid w:val="0076380D"/>
    <w:pPr>
      <w:tabs>
        <w:tab w:val="center" w:pos="4680"/>
        <w:tab w:val="right" w:pos="9360"/>
      </w:tabs>
      <w:spacing w:after="240"/>
    </w:pPr>
    <w:rPr>
      <w:b/>
    </w:rPr>
  </w:style>
  <w:style w:type="paragraph" w:styleId="Header">
    <w:name w:val="header"/>
    <w:basedOn w:val="Normal"/>
    <w:pPr>
      <w:tabs>
        <w:tab w:val="center" w:pos="4320"/>
        <w:tab w:val="right" w:pos="8640"/>
      </w:tabs>
    </w:pPr>
  </w:style>
  <w:style w:type="paragraph" w:customStyle="1" w:styleId="Figure">
    <w:name w:val="Figure"/>
    <w:basedOn w:val="Normal"/>
    <w:rsid w:val="00007B96"/>
    <w:pPr>
      <w:spacing w:before="240" w:after="720"/>
      <w:jc w:val="center"/>
    </w:pPr>
    <w:rPr>
      <w:snapToGrid w:val="0"/>
      <w:color w:val="000000"/>
      <w:sz w:val="20"/>
    </w:rPr>
  </w:style>
  <w:style w:type="paragraph" w:customStyle="1" w:styleId="TableTitle">
    <w:name w:val="Table Title"/>
    <w:basedOn w:val="Normal"/>
    <w:rPr>
      <w:b/>
      <w:sz w:val="20"/>
    </w:rPr>
  </w:style>
  <w:style w:type="table" w:styleId="TableGrid">
    <w:name w:val="Table Grid"/>
    <w:basedOn w:val="TableNormal"/>
    <w:rsid w:val="00BA7A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F379A"/>
    <w:rPr>
      <w:rFonts w:ascii="Tahoma" w:hAnsi="Tahoma" w:cs="Tahoma"/>
      <w:sz w:val="16"/>
      <w:szCs w:val="16"/>
    </w:rPr>
  </w:style>
  <w:style w:type="paragraph" w:styleId="NoSpacing">
    <w:name w:val="No Spacing"/>
    <w:uiPriority w:val="1"/>
    <w:qFormat/>
    <w:rsid w:val="009148BB"/>
    <w:rPr>
      <w:sz w:val="24"/>
    </w:rPr>
  </w:style>
  <w:style w:type="character" w:styleId="Hyperlink">
    <w:name w:val="Hyperlink"/>
    <w:uiPriority w:val="99"/>
    <w:unhideWhenUsed/>
    <w:rsid w:val="009148BB"/>
    <w:rPr>
      <w:rFonts w:ascii="Arial" w:hAnsi="Arial" w:cs="Arial" w:hint="default"/>
      <w:strike w:val="0"/>
      <w:dstrike w:val="0"/>
      <w:color w:val="0364A4"/>
      <w:sz w:val="21"/>
      <w:szCs w:val="21"/>
      <w:u w:val="none"/>
      <w:effect w:val="none"/>
    </w:rPr>
  </w:style>
  <w:style w:type="paragraph" w:styleId="FootnoteText">
    <w:name w:val="footnote text"/>
    <w:basedOn w:val="Normal"/>
    <w:link w:val="FootnoteTextChar"/>
    <w:rsid w:val="0020769D"/>
    <w:rPr>
      <w:sz w:val="20"/>
    </w:rPr>
  </w:style>
  <w:style w:type="character" w:customStyle="1" w:styleId="FootnoteTextChar">
    <w:name w:val="Footnote Text Char"/>
    <w:basedOn w:val="DefaultParagraphFont"/>
    <w:link w:val="FootnoteText"/>
    <w:rsid w:val="0020769D"/>
  </w:style>
  <w:style w:type="character" w:styleId="FootnoteReference">
    <w:name w:val="footnote reference"/>
    <w:rsid w:val="0020769D"/>
    <w:rPr>
      <w:vertAlign w:val="superscript"/>
    </w:rPr>
  </w:style>
  <w:style w:type="paragraph" w:styleId="DocumentMap">
    <w:name w:val="Document Map"/>
    <w:basedOn w:val="Normal"/>
    <w:link w:val="DocumentMapChar"/>
    <w:rsid w:val="00EB6658"/>
    <w:rPr>
      <w:rFonts w:ascii="Tahoma" w:hAnsi="Tahoma" w:cs="Tahoma"/>
      <w:sz w:val="16"/>
      <w:szCs w:val="16"/>
    </w:rPr>
  </w:style>
  <w:style w:type="character" w:customStyle="1" w:styleId="DocumentMapChar">
    <w:name w:val="Document Map Char"/>
    <w:link w:val="DocumentMap"/>
    <w:rsid w:val="00EB6658"/>
    <w:rPr>
      <w:rFonts w:ascii="Tahoma" w:hAnsi="Tahoma" w:cs="Tahoma"/>
      <w:sz w:val="16"/>
      <w:szCs w:val="16"/>
    </w:rPr>
  </w:style>
  <w:style w:type="character" w:customStyle="1" w:styleId="FooterChar">
    <w:name w:val="Footer Char"/>
    <w:link w:val="Footer"/>
    <w:uiPriority w:val="99"/>
    <w:rsid w:val="004574DB"/>
    <w:rPr>
      <w:rFonts w:ascii="Arial" w:hAnsi="Arial"/>
      <w:color w:val="000000"/>
      <w:sz w:val="24"/>
    </w:rPr>
  </w:style>
  <w:style w:type="character" w:styleId="CommentReference">
    <w:name w:val="annotation reference"/>
    <w:rsid w:val="00D82BA3"/>
    <w:rPr>
      <w:sz w:val="16"/>
      <w:szCs w:val="16"/>
    </w:rPr>
  </w:style>
  <w:style w:type="paragraph" w:styleId="CommentText">
    <w:name w:val="annotation text"/>
    <w:basedOn w:val="Normal"/>
    <w:link w:val="CommentTextChar"/>
    <w:rsid w:val="00D82BA3"/>
    <w:rPr>
      <w:sz w:val="20"/>
    </w:rPr>
  </w:style>
  <w:style w:type="character" w:customStyle="1" w:styleId="CommentTextChar">
    <w:name w:val="Comment Text Char"/>
    <w:basedOn w:val="DefaultParagraphFont"/>
    <w:link w:val="CommentText"/>
    <w:rsid w:val="00D82BA3"/>
  </w:style>
  <w:style w:type="paragraph" w:styleId="CommentSubject">
    <w:name w:val="annotation subject"/>
    <w:basedOn w:val="CommentText"/>
    <w:next w:val="CommentText"/>
    <w:link w:val="CommentSubjectChar"/>
    <w:rsid w:val="00D82BA3"/>
    <w:rPr>
      <w:b/>
      <w:bCs/>
    </w:rPr>
  </w:style>
  <w:style w:type="character" w:customStyle="1" w:styleId="CommentSubjectChar">
    <w:name w:val="Comment Subject Char"/>
    <w:link w:val="CommentSubject"/>
    <w:rsid w:val="00D82BA3"/>
    <w:rPr>
      <w:b/>
      <w:bCs/>
    </w:rPr>
  </w:style>
  <w:style w:type="paragraph" w:styleId="Revision">
    <w:name w:val="Revision"/>
    <w:hidden/>
    <w:uiPriority w:val="99"/>
    <w:semiHidden/>
    <w:rsid w:val="00876B52"/>
    <w:rPr>
      <w:sz w:val="24"/>
    </w:rPr>
  </w:style>
  <w:style w:type="paragraph" w:styleId="Caption">
    <w:name w:val="caption"/>
    <w:basedOn w:val="Normal"/>
    <w:next w:val="Normal"/>
    <w:autoRedefine/>
    <w:unhideWhenUsed/>
    <w:qFormat/>
    <w:rsid w:val="00FA1EDF"/>
    <w:pPr>
      <w:keepNext/>
      <w:spacing w:after="240"/>
      <w:jc w:val="center"/>
    </w:pPr>
    <w:rPr>
      <w:bCs/>
      <w:szCs w:val="24"/>
    </w:rPr>
  </w:style>
  <w:style w:type="character" w:styleId="PlaceholderText">
    <w:name w:val="Placeholder Text"/>
    <w:basedOn w:val="DefaultParagraphFont"/>
    <w:uiPriority w:val="99"/>
    <w:semiHidden/>
    <w:rsid w:val="00927764"/>
    <w:rPr>
      <w:color w:val="808080"/>
    </w:rPr>
  </w:style>
  <w:style w:type="character" w:customStyle="1" w:styleId="BodyTextChar">
    <w:name w:val="Body Text Char"/>
    <w:basedOn w:val="DefaultParagraphFont"/>
    <w:link w:val="BodyText"/>
    <w:rsid w:val="00117CB7"/>
    <w:rPr>
      <w:sz w:val="24"/>
    </w:rPr>
  </w:style>
  <w:style w:type="paragraph" w:styleId="TOCHeading">
    <w:name w:val="TOC Heading"/>
    <w:basedOn w:val="Heading1"/>
    <w:next w:val="Normal"/>
    <w:uiPriority w:val="39"/>
    <w:unhideWhenUsed/>
    <w:qFormat/>
    <w:rsid w:val="000E1649"/>
    <w:pPr>
      <w:keepNext/>
      <w:keepLines/>
      <w:widowControl/>
      <w:numPr>
        <w:numId w:val="0"/>
      </w:numPr>
      <w:spacing w:before="240" w:after="0" w:line="259" w:lineRule="auto"/>
      <w:outlineLvl w:val="9"/>
    </w:pPr>
    <w:rPr>
      <w:rFonts w:asciiTheme="majorHAnsi" w:eastAsiaTheme="majorEastAsia" w:hAnsiTheme="majorHAnsi" w:cstheme="majorBidi"/>
      <w:caps w:val="0"/>
      <w:kern w:val="0"/>
      <w:sz w:val="24"/>
      <w:szCs w:val="32"/>
    </w:rPr>
  </w:style>
  <w:style w:type="paragraph" w:styleId="Bibliography">
    <w:name w:val="Bibliography"/>
    <w:basedOn w:val="Normal"/>
    <w:next w:val="Normal"/>
    <w:uiPriority w:val="37"/>
    <w:unhideWhenUsed/>
    <w:rsid w:val="00A364CE"/>
    <w:pPr>
      <w:ind w:left="720" w:hanging="720"/>
    </w:pPr>
  </w:style>
  <w:style w:type="paragraph" w:styleId="EndnoteText">
    <w:name w:val="endnote text"/>
    <w:basedOn w:val="Normal"/>
    <w:link w:val="EndnoteTextChar"/>
    <w:rsid w:val="00866B93"/>
    <w:rPr>
      <w:sz w:val="20"/>
    </w:rPr>
  </w:style>
  <w:style w:type="character" w:customStyle="1" w:styleId="EndnoteTextChar">
    <w:name w:val="Endnote Text Char"/>
    <w:basedOn w:val="DefaultParagraphFont"/>
    <w:link w:val="EndnoteText"/>
    <w:rsid w:val="00866B93"/>
  </w:style>
  <w:style w:type="character" w:styleId="EndnoteReference">
    <w:name w:val="endnote reference"/>
    <w:basedOn w:val="DefaultParagraphFont"/>
    <w:rsid w:val="00866B93"/>
    <w:rPr>
      <w:vertAlign w:val="superscript"/>
    </w:rPr>
  </w:style>
  <w:style w:type="character" w:customStyle="1" w:styleId="UnresolvedMention1">
    <w:name w:val="Unresolved Mention1"/>
    <w:basedOn w:val="DefaultParagraphFont"/>
    <w:uiPriority w:val="99"/>
    <w:semiHidden/>
    <w:unhideWhenUsed/>
    <w:rsid w:val="00000DA8"/>
    <w:rPr>
      <w:color w:val="808080"/>
      <w:shd w:val="clear" w:color="auto" w:fill="E6E6E6"/>
    </w:rPr>
  </w:style>
  <w:style w:type="paragraph" w:customStyle="1" w:styleId="Default">
    <w:name w:val="Default"/>
    <w:rsid w:val="00534AE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390368">
      <w:bodyDiv w:val="1"/>
      <w:marLeft w:val="0"/>
      <w:marRight w:val="0"/>
      <w:marTop w:val="0"/>
      <w:marBottom w:val="0"/>
      <w:divBdr>
        <w:top w:val="none" w:sz="0" w:space="0" w:color="auto"/>
        <w:left w:val="none" w:sz="0" w:space="0" w:color="auto"/>
        <w:bottom w:val="none" w:sz="0" w:space="0" w:color="auto"/>
        <w:right w:val="none" w:sz="0" w:space="0" w:color="auto"/>
      </w:divBdr>
    </w:div>
    <w:div w:id="169564498">
      <w:bodyDiv w:val="1"/>
      <w:marLeft w:val="0"/>
      <w:marRight w:val="0"/>
      <w:marTop w:val="0"/>
      <w:marBottom w:val="0"/>
      <w:divBdr>
        <w:top w:val="none" w:sz="0" w:space="0" w:color="auto"/>
        <w:left w:val="none" w:sz="0" w:space="0" w:color="auto"/>
        <w:bottom w:val="none" w:sz="0" w:space="0" w:color="auto"/>
        <w:right w:val="none" w:sz="0" w:space="0" w:color="auto"/>
      </w:divBdr>
    </w:div>
    <w:div w:id="273638152">
      <w:bodyDiv w:val="1"/>
      <w:marLeft w:val="0"/>
      <w:marRight w:val="0"/>
      <w:marTop w:val="0"/>
      <w:marBottom w:val="0"/>
      <w:divBdr>
        <w:top w:val="none" w:sz="0" w:space="0" w:color="auto"/>
        <w:left w:val="none" w:sz="0" w:space="0" w:color="auto"/>
        <w:bottom w:val="none" w:sz="0" w:space="0" w:color="auto"/>
        <w:right w:val="none" w:sz="0" w:space="0" w:color="auto"/>
      </w:divBdr>
    </w:div>
    <w:div w:id="352846068">
      <w:bodyDiv w:val="1"/>
      <w:marLeft w:val="0"/>
      <w:marRight w:val="0"/>
      <w:marTop w:val="0"/>
      <w:marBottom w:val="0"/>
      <w:divBdr>
        <w:top w:val="none" w:sz="0" w:space="0" w:color="auto"/>
        <w:left w:val="none" w:sz="0" w:space="0" w:color="auto"/>
        <w:bottom w:val="none" w:sz="0" w:space="0" w:color="auto"/>
        <w:right w:val="none" w:sz="0" w:space="0" w:color="auto"/>
      </w:divBdr>
    </w:div>
    <w:div w:id="386532177">
      <w:bodyDiv w:val="1"/>
      <w:marLeft w:val="0"/>
      <w:marRight w:val="0"/>
      <w:marTop w:val="0"/>
      <w:marBottom w:val="0"/>
      <w:divBdr>
        <w:top w:val="none" w:sz="0" w:space="0" w:color="auto"/>
        <w:left w:val="none" w:sz="0" w:space="0" w:color="auto"/>
        <w:bottom w:val="none" w:sz="0" w:space="0" w:color="auto"/>
        <w:right w:val="none" w:sz="0" w:space="0" w:color="auto"/>
      </w:divBdr>
      <w:divsChild>
        <w:div w:id="818814565">
          <w:marLeft w:val="0"/>
          <w:marRight w:val="0"/>
          <w:marTop w:val="0"/>
          <w:marBottom w:val="0"/>
          <w:divBdr>
            <w:top w:val="none" w:sz="0" w:space="0" w:color="auto"/>
            <w:left w:val="none" w:sz="0" w:space="0" w:color="auto"/>
            <w:bottom w:val="none" w:sz="0" w:space="0" w:color="auto"/>
            <w:right w:val="none" w:sz="0" w:space="0" w:color="auto"/>
          </w:divBdr>
          <w:divsChild>
            <w:div w:id="1694528324">
              <w:marLeft w:val="0"/>
              <w:marRight w:val="96"/>
              <w:marTop w:val="0"/>
              <w:marBottom w:val="0"/>
              <w:divBdr>
                <w:top w:val="none" w:sz="0" w:space="0" w:color="auto"/>
                <w:left w:val="none" w:sz="0" w:space="0" w:color="auto"/>
                <w:bottom w:val="none" w:sz="0" w:space="0" w:color="auto"/>
                <w:right w:val="none" w:sz="0" w:space="0" w:color="auto"/>
              </w:divBdr>
              <w:divsChild>
                <w:div w:id="210189592">
                  <w:marLeft w:val="0"/>
                  <w:marRight w:val="0"/>
                  <w:marTop w:val="160"/>
                  <w:marBottom w:val="160"/>
                  <w:divBdr>
                    <w:top w:val="none" w:sz="0" w:space="0" w:color="auto"/>
                    <w:left w:val="none" w:sz="0" w:space="0" w:color="auto"/>
                    <w:bottom w:val="none" w:sz="0" w:space="0" w:color="auto"/>
                    <w:right w:val="none" w:sz="0" w:space="0" w:color="auto"/>
                  </w:divBdr>
                  <w:divsChild>
                    <w:div w:id="1706908422">
                      <w:marLeft w:val="720"/>
                      <w:marRight w:val="80"/>
                      <w:marTop w:val="0"/>
                      <w:marBottom w:val="0"/>
                      <w:divBdr>
                        <w:top w:val="none" w:sz="0" w:space="0" w:color="auto"/>
                        <w:left w:val="none" w:sz="0" w:space="0" w:color="auto"/>
                        <w:bottom w:val="none" w:sz="0" w:space="0" w:color="auto"/>
                        <w:right w:val="none" w:sz="0" w:space="0" w:color="auto"/>
                      </w:divBdr>
                    </w:div>
                  </w:divsChild>
                </w:div>
                <w:div w:id="809785630">
                  <w:marLeft w:val="0"/>
                  <w:marRight w:val="0"/>
                  <w:marTop w:val="160"/>
                  <w:marBottom w:val="160"/>
                  <w:divBdr>
                    <w:top w:val="none" w:sz="0" w:space="0" w:color="auto"/>
                    <w:left w:val="none" w:sz="0" w:space="0" w:color="auto"/>
                    <w:bottom w:val="none" w:sz="0" w:space="0" w:color="auto"/>
                    <w:right w:val="none" w:sz="0" w:space="0" w:color="auto"/>
                  </w:divBdr>
                  <w:divsChild>
                    <w:div w:id="1789006430">
                      <w:marLeft w:val="720"/>
                      <w:marRight w:val="80"/>
                      <w:marTop w:val="0"/>
                      <w:marBottom w:val="0"/>
                      <w:divBdr>
                        <w:top w:val="none" w:sz="0" w:space="0" w:color="auto"/>
                        <w:left w:val="none" w:sz="0" w:space="0" w:color="auto"/>
                        <w:bottom w:val="none" w:sz="0" w:space="0" w:color="auto"/>
                        <w:right w:val="none" w:sz="0" w:space="0" w:color="auto"/>
                      </w:divBdr>
                    </w:div>
                  </w:divsChild>
                </w:div>
                <w:div w:id="902913050">
                  <w:marLeft w:val="0"/>
                  <w:marRight w:val="0"/>
                  <w:marTop w:val="160"/>
                  <w:marBottom w:val="160"/>
                  <w:divBdr>
                    <w:top w:val="none" w:sz="0" w:space="0" w:color="auto"/>
                    <w:left w:val="none" w:sz="0" w:space="0" w:color="auto"/>
                    <w:bottom w:val="none" w:sz="0" w:space="0" w:color="auto"/>
                    <w:right w:val="none" w:sz="0" w:space="0" w:color="auto"/>
                  </w:divBdr>
                  <w:divsChild>
                    <w:div w:id="1766538739">
                      <w:marLeft w:val="720"/>
                      <w:marRight w:val="80"/>
                      <w:marTop w:val="0"/>
                      <w:marBottom w:val="0"/>
                      <w:divBdr>
                        <w:top w:val="none" w:sz="0" w:space="0" w:color="auto"/>
                        <w:left w:val="none" w:sz="0" w:space="0" w:color="auto"/>
                        <w:bottom w:val="none" w:sz="0" w:space="0" w:color="auto"/>
                        <w:right w:val="none" w:sz="0" w:space="0" w:color="auto"/>
                      </w:divBdr>
                    </w:div>
                  </w:divsChild>
                </w:div>
                <w:div w:id="1095714313">
                  <w:marLeft w:val="0"/>
                  <w:marRight w:val="0"/>
                  <w:marTop w:val="160"/>
                  <w:marBottom w:val="160"/>
                  <w:divBdr>
                    <w:top w:val="none" w:sz="0" w:space="0" w:color="auto"/>
                    <w:left w:val="none" w:sz="0" w:space="0" w:color="auto"/>
                    <w:bottom w:val="none" w:sz="0" w:space="0" w:color="auto"/>
                    <w:right w:val="none" w:sz="0" w:space="0" w:color="auto"/>
                  </w:divBdr>
                  <w:divsChild>
                    <w:div w:id="1655256526">
                      <w:marLeft w:val="720"/>
                      <w:marRight w:val="80"/>
                      <w:marTop w:val="0"/>
                      <w:marBottom w:val="0"/>
                      <w:divBdr>
                        <w:top w:val="none" w:sz="0" w:space="0" w:color="auto"/>
                        <w:left w:val="none" w:sz="0" w:space="0" w:color="auto"/>
                        <w:bottom w:val="none" w:sz="0" w:space="0" w:color="auto"/>
                        <w:right w:val="none" w:sz="0" w:space="0" w:color="auto"/>
                      </w:divBdr>
                    </w:div>
                  </w:divsChild>
                </w:div>
                <w:div w:id="1552383577">
                  <w:marLeft w:val="0"/>
                  <w:marRight w:val="0"/>
                  <w:marTop w:val="160"/>
                  <w:marBottom w:val="160"/>
                  <w:divBdr>
                    <w:top w:val="none" w:sz="0" w:space="0" w:color="auto"/>
                    <w:left w:val="none" w:sz="0" w:space="0" w:color="auto"/>
                    <w:bottom w:val="none" w:sz="0" w:space="0" w:color="auto"/>
                    <w:right w:val="none" w:sz="0" w:space="0" w:color="auto"/>
                  </w:divBdr>
                  <w:divsChild>
                    <w:div w:id="1175657486">
                      <w:marLeft w:val="720"/>
                      <w:marRight w:val="80"/>
                      <w:marTop w:val="0"/>
                      <w:marBottom w:val="0"/>
                      <w:divBdr>
                        <w:top w:val="none" w:sz="0" w:space="0" w:color="auto"/>
                        <w:left w:val="none" w:sz="0" w:space="0" w:color="auto"/>
                        <w:bottom w:val="none" w:sz="0" w:space="0" w:color="auto"/>
                        <w:right w:val="none" w:sz="0" w:space="0" w:color="auto"/>
                      </w:divBdr>
                    </w:div>
                  </w:divsChild>
                </w:div>
                <w:div w:id="1832133290">
                  <w:marLeft w:val="0"/>
                  <w:marRight w:val="0"/>
                  <w:marTop w:val="160"/>
                  <w:marBottom w:val="160"/>
                  <w:divBdr>
                    <w:top w:val="none" w:sz="0" w:space="0" w:color="auto"/>
                    <w:left w:val="none" w:sz="0" w:space="0" w:color="auto"/>
                    <w:bottom w:val="none" w:sz="0" w:space="0" w:color="auto"/>
                    <w:right w:val="none" w:sz="0" w:space="0" w:color="auto"/>
                  </w:divBdr>
                  <w:divsChild>
                    <w:div w:id="1313098793">
                      <w:marLeft w:val="720"/>
                      <w:marRight w:val="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020715">
      <w:bodyDiv w:val="1"/>
      <w:marLeft w:val="0"/>
      <w:marRight w:val="0"/>
      <w:marTop w:val="0"/>
      <w:marBottom w:val="0"/>
      <w:divBdr>
        <w:top w:val="none" w:sz="0" w:space="0" w:color="auto"/>
        <w:left w:val="none" w:sz="0" w:space="0" w:color="auto"/>
        <w:bottom w:val="none" w:sz="0" w:space="0" w:color="auto"/>
        <w:right w:val="none" w:sz="0" w:space="0" w:color="auto"/>
      </w:divBdr>
    </w:div>
    <w:div w:id="1104963356">
      <w:bodyDiv w:val="1"/>
      <w:marLeft w:val="0"/>
      <w:marRight w:val="0"/>
      <w:marTop w:val="0"/>
      <w:marBottom w:val="0"/>
      <w:divBdr>
        <w:top w:val="none" w:sz="0" w:space="0" w:color="auto"/>
        <w:left w:val="none" w:sz="0" w:space="0" w:color="auto"/>
        <w:bottom w:val="none" w:sz="0" w:space="0" w:color="auto"/>
        <w:right w:val="none" w:sz="0" w:space="0" w:color="auto"/>
      </w:divBdr>
    </w:div>
    <w:div w:id="1123572012">
      <w:bodyDiv w:val="1"/>
      <w:marLeft w:val="0"/>
      <w:marRight w:val="0"/>
      <w:marTop w:val="0"/>
      <w:marBottom w:val="0"/>
      <w:divBdr>
        <w:top w:val="none" w:sz="0" w:space="0" w:color="auto"/>
        <w:left w:val="none" w:sz="0" w:space="0" w:color="auto"/>
        <w:bottom w:val="none" w:sz="0" w:space="0" w:color="auto"/>
        <w:right w:val="none" w:sz="0" w:space="0" w:color="auto"/>
      </w:divBdr>
    </w:div>
    <w:div w:id="1170292670">
      <w:bodyDiv w:val="1"/>
      <w:marLeft w:val="0"/>
      <w:marRight w:val="0"/>
      <w:marTop w:val="0"/>
      <w:marBottom w:val="0"/>
      <w:divBdr>
        <w:top w:val="none" w:sz="0" w:space="0" w:color="auto"/>
        <w:left w:val="none" w:sz="0" w:space="0" w:color="auto"/>
        <w:bottom w:val="none" w:sz="0" w:space="0" w:color="auto"/>
        <w:right w:val="none" w:sz="0" w:space="0" w:color="auto"/>
      </w:divBdr>
      <w:divsChild>
        <w:div w:id="860971373">
          <w:marLeft w:val="0"/>
          <w:marRight w:val="0"/>
          <w:marTop w:val="0"/>
          <w:marBottom w:val="0"/>
          <w:divBdr>
            <w:top w:val="none" w:sz="0" w:space="0" w:color="auto"/>
            <w:left w:val="none" w:sz="0" w:space="0" w:color="auto"/>
            <w:bottom w:val="none" w:sz="0" w:space="0" w:color="auto"/>
            <w:right w:val="none" w:sz="0" w:space="0" w:color="auto"/>
          </w:divBdr>
          <w:divsChild>
            <w:div w:id="794834515">
              <w:marLeft w:val="0"/>
              <w:marRight w:val="96"/>
              <w:marTop w:val="0"/>
              <w:marBottom w:val="0"/>
              <w:divBdr>
                <w:top w:val="none" w:sz="0" w:space="0" w:color="auto"/>
                <w:left w:val="none" w:sz="0" w:space="0" w:color="auto"/>
                <w:bottom w:val="none" w:sz="0" w:space="0" w:color="auto"/>
                <w:right w:val="none" w:sz="0" w:space="0" w:color="auto"/>
              </w:divBdr>
              <w:divsChild>
                <w:div w:id="1366059744">
                  <w:marLeft w:val="0"/>
                  <w:marRight w:val="0"/>
                  <w:marTop w:val="160"/>
                  <w:marBottom w:val="160"/>
                  <w:divBdr>
                    <w:top w:val="none" w:sz="0" w:space="0" w:color="auto"/>
                    <w:left w:val="none" w:sz="0" w:space="0" w:color="auto"/>
                    <w:bottom w:val="none" w:sz="0" w:space="0" w:color="auto"/>
                    <w:right w:val="none" w:sz="0" w:space="0" w:color="auto"/>
                  </w:divBdr>
                </w:div>
              </w:divsChild>
            </w:div>
          </w:divsChild>
        </w:div>
      </w:divsChild>
    </w:div>
    <w:div w:id="206544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7BECD-33E4-4412-A9AC-CCD4FEC6F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37</Pages>
  <Words>13034</Words>
  <Characters>141146</Characters>
  <Application>Microsoft Office Word</Application>
  <DocSecurity>0</DocSecurity>
  <Lines>1176</Lines>
  <Paragraphs>307</Paragraphs>
  <ScaleCrop>false</ScaleCrop>
  <HeadingPairs>
    <vt:vector size="2" baseType="variant">
      <vt:variant>
        <vt:lpstr>Title</vt:lpstr>
      </vt:variant>
      <vt:variant>
        <vt:i4>1</vt:i4>
      </vt:variant>
    </vt:vector>
  </HeadingPairs>
  <TitlesOfParts>
    <vt:vector size="1" baseType="lpstr">
      <vt:lpstr>OREGON DOT</vt:lpstr>
    </vt:vector>
  </TitlesOfParts>
  <Company>ODOT</Company>
  <LinksUpToDate>false</LinksUpToDate>
  <CharactersWithSpaces>153873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DOT</dc:title>
  <dc:subject/>
  <dc:creator>"Kelly Clifton" &lt;kclifton@pdx.edu&gt;</dc:creator>
  <cp:keywords/>
  <dc:description/>
  <cp:lastModifiedBy>Kelly Clifton</cp:lastModifiedBy>
  <cp:revision>13</cp:revision>
  <cp:lastPrinted>2018-04-19T04:40:00Z</cp:lastPrinted>
  <dcterms:created xsi:type="dcterms:W3CDTF">2019-02-25T21:26:00Z</dcterms:created>
  <dcterms:modified xsi:type="dcterms:W3CDTF">2019-02-26T00:13:00Z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-1315160917</vt:i4>
  </property>
  <property fmtid="{D5CDD505-2E9C-101B-9397-08002B2CF9AE}" pid="3" name="ZOTERO_PREF_1">
    <vt:lpwstr>&lt;data data-version="3" zotero-version="5.0.48"&gt;&lt;session id="audxFWTB"/&gt;&lt;style id="http://www.zotero.org/styles/chicago-author-date" locale="en-US" hasBibliography="1" bibliographyStyleHasBeenSet="1"/&gt;&lt;prefs&gt;&lt;pref name="fieldType" value="Field"/&gt;&lt;pref name</vt:lpwstr>
  </property>
  <property fmtid="{D5CDD505-2E9C-101B-9397-08002B2CF9AE}" pid="4" name="ZOTERO_PREF_2">
    <vt:lpwstr>="automaticJournalAbbreviations" value="true"/&gt;&lt;/prefs&gt;&lt;/data&gt;</vt:lpwstr>
  </property>
</Properties>
</file>